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1D913" w14:textId="77777777" w:rsidR="008C4F12" w:rsidRDefault="008C4F12" w:rsidP="008C4F12">
      <w:pPr>
        <w:pStyle w:val="210"/>
        <w:shd w:val="clear" w:color="auto" w:fill="auto"/>
        <w:spacing w:before="0" w:after="170" w:line="260" w:lineRule="exact"/>
        <w:ind w:firstLine="280"/>
      </w:pPr>
      <w:r>
        <w:rPr>
          <w:rStyle w:val="21"/>
          <w:color w:val="000000"/>
        </w:rPr>
        <w:t>Российский государственный университет физической культуры,</w:t>
      </w:r>
    </w:p>
    <w:p w14:paraId="6A316DAA" w14:textId="77777777" w:rsidR="008C4F12" w:rsidRDefault="008C4F12" w:rsidP="008C4F12">
      <w:pPr>
        <w:pStyle w:val="210"/>
        <w:shd w:val="clear" w:color="auto" w:fill="auto"/>
        <w:spacing w:before="0" w:after="1628" w:line="260" w:lineRule="exact"/>
        <w:ind w:left="480" w:firstLine="0"/>
      </w:pPr>
      <w:r>
        <w:rPr>
          <w:rStyle w:val="21"/>
          <w:color w:val="000000"/>
        </w:rPr>
        <w:t>спорта и туризма</w:t>
      </w:r>
    </w:p>
    <w:p w14:paraId="054902B4" w14:textId="77777777" w:rsidR="008C4F12" w:rsidRDefault="008C4F12" w:rsidP="008C4F12">
      <w:pPr>
        <w:pStyle w:val="2f1"/>
        <w:framePr w:h="547" w:wrap="notBeside" w:vAnchor="text" w:hAnchor="text" w:xAlign="right" w:y="1"/>
        <w:shd w:val="clear" w:color="auto" w:fill="auto"/>
        <w:spacing w:line="260" w:lineRule="exact"/>
      </w:pPr>
      <w:r>
        <w:rPr>
          <w:rStyle w:val="2f3"/>
          <w:color w:val="000000"/>
        </w:rPr>
        <w:t>На правах рукописи</w:t>
      </w:r>
    </w:p>
    <w:p w14:paraId="5CF9751A" w14:textId="4AED8822" w:rsidR="008C4F12" w:rsidRDefault="008C4F12" w:rsidP="008C4F12">
      <w:pPr>
        <w:framePr w:h="547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 wp14:anchorId="78A3214F" wp14:editId="4D798B9B">
            <wp:extent cx="1847215" cy="34417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E4BBF" w14:textId="77777777" w:rsidR="008C4F12" w:rsidRDefault="008C4F12" w:rsidP="008C4F12">
      <w:pPr>
        <w:rPr>
          <w:sz w:val="2"/>
          <w:szCs w:val="2"/>
        </w:rPr>
      </w:pPr>
    </w:p>
    <w:p w14:paraId="647CCE67" w14:textId="77777777" w:rsidR="008C4F12" w:rsidRDefault="008C4F12" w:rsidP="008C4F12">
      <w:pPr>
        <w:pStyle w:val="210"/>
        <w:shd w:val="clear" w:color="auto" w:fill="auto"/>
        <w:spacing w:before="49" w:after="1137" w:line="260" w:lineRule="exact"/>
        <w:ind w:left="480" w:firstLine="0"/>
      </w:pPr>
      <w:r>
        <w:rPr>
          <w:rStyle w:val="21"/>
          <w:color w:val="000000"/>
        </w:rPr>
        <w:t>Листратов Игорь Алексеевич</w:t>
      </w:r>
    </w:p>
    <w:p w14:paraId="23073477" w14:textId="77777777" w:rsidR="008C4F12" w:rsidRDefault="008C4F12" w:rsidP="008C4F12">
      <w:pPr>
        <w:pStyle w:val="210"/>
        <w:shd w:val="clear" w:color="auto" w:fill="auto"/>
        <w:spacing w:before="0" w:after="966" w:line="260" w:lineRule="exact"/>
        <w:ind w:left="480" w:firstLine="0"/>
      </w:pPr>
      <w:r>
        <w:rPr>
          <w:rStyle w:val="21"/>
          <w:color w:val="000000"/>
        </w:rPr>
        <w:t>Интерактивное модульное обучение тактике тенниса</w:t>
      </w:r>
    </w:p>
    <w:p w14:paraId="6674740C" w14:textId="77777777" w:rsidR="008C4F12" w:rsidRDefault="008C4F12" w:rsidP="008C4F12">
      <w:pPr>
        <w:pStyle w:val="210"/>
        <w:shd w:val="clear" w:color="auto" w:fill="auto"/>
        <w:spacing w:before="0" w:after="1376" w:line="485" w:lineRule="exact"/>
        <w:ind w:firstLine="280"/>
      </w:pPr>
      <w:r>
        <w:rPr>
          <w:rStyle w:val="21"/>
          <w:color w:val="000000"/>
        </w:rPr>
        <w:t>13.00.04 - Теория и методика физического воспитания, спортивной тренировки, оздоровительной и адаптивной физической культуры</w:t>
      </w:r>
    </w:p>
    <w:p w14:paraId="1C94E0C1" w14:textId="77777777" w:rsidR="008C4F12" w:rsidRDefault="008C4F12" w:rsidP="008C4F12">
      <w:pPr>
        <w:pStyle w:val="210"/>
        <w:shd w:val="clear" w:color="auto" w:fill="auto"/>
        <w:spacing w:before="0" w:after="904" w:line="490" w:lineRule="exact"/>
        <w:ind w:left="480" w:firstLine="0"/>
      </w:pPr>
      <w:r>
        <w:rPr>
          <w:rStyle w:val="21"/>
          <w:color w:val="000000"/>
        </w:rPr>
        <w:t>Диссертация на соискание ученой степени</w:t>
      </w:r>
      <w:r>
        <w:rPr>
          <w:rStyle w:val="21"/>
          <w:color w:val="000000"/>
        </w:rPr>
        <w:br/>
        <w:t>кандидата педагогических наук</w:t>
      </w:r>
    </w:p>
    <w:p w14:paraId="167F1146" w14:textId="77777777" w:rsidR="008C4F12" w:rsidRDefault="008C4F12" w:rsidP="008C4F12">
      <w:pPr>
        <w:pStyle w:val="210"/>
        <w:shd w:val="clear" w:color="auto" w:fill="auto"/>
        <w:spacing w:before="0" w:after="1560" w:line="485" w:lineRule="exact"/>
        <w:ind w:left="4840" w:right="400" w:firstLine="0"/>
        <w:jc w:val="right"/>
      </w:pPr>
      <w:r>
        <w:rPr>
          <w:rStyle w:val="21"/>
          <w:color w:val="000000"/>
        </w:rPr>
        <w:t>Научный руководитель - доктор педагогических наук, доцент В.А. Голенко</w:t>
      </w:r>
    </w:p>
    <w:p w14:paraId="23C67702" w14:textId="77777777" w:rsidR="008C4F12" w:rsidRDefault="008C4F12" w:rsidP="008C4F12">
      <w:pPr>
        <w:pStyle w:val="210"/>
        <w:shd w:val="clear" w:color="auto" w:fill="auto"/>
        <w:spacing w:before="0" w:after="0" w:line="260" w:lineRule="exact"/>
        <w:ind w:left="480" w:firstLine="0"/>
        <w:sectPr w:rsidR="008C4F12">
          <w:headerReference w:type="even" r:id="rId8"/>
          <w:footnotePr>
            <w:numFmt w:val="chicago"/>
            <w:numRestart w:val="eachPage"/>
          </w:footnotePr>
          <w:pgSz w:w="10939" w:h="16882"/>
          <w:pgMar w:top="462" w:right="288" w:bottom="462" w:left="2131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Москва - 2007</w:t>
      </w:r>
    </w:p>
    <w:p w14:paraId="0FD053A2" w14:textId="77777777" w:rsidR="008C4F12" w:rsidRDefault="008C4F12" w:rsidP="008C4F12">
      <w:pPr>
        <w:pStyle w:val="210"/>
        <w:shd w:val="clear" w:color="auto" w:fill="auto"/>
        <w:spacing w:before="0" w:after="652" w:line="260" w:lineRule="exact"/>
        <w:ind w:left="3160" w:firstLine="0"/>
      </w:pPr>
      <w:r>
        <w:rPr>
          <w:rStyle w:val="21"/>
          <w:color w:val="000000"/>
        </w:rPr>
        <w:lastRenderedPageBreak/>
        <w:t>Содержание</w:t>
      </w:r>
    </w:p>
    <w:p w14:paraId="46252167" w14:textId="77777777" w:rsidR="008C4F12" w:rsidRDefault="008C4F12" w:rsidP="008C4F12">
      <w:pPr>
        <w:pStyle w:val="34"/>
        <w:tabs>
          <w:tab w:val="right" w:leader="dot" w:pos="8178"/>
        </w:tabs>
        <w:spacing w:after="482" w:line="260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1" w:tooltip="Current Document" w:history="1">
        <w:r>
          <w:rPr>
            <w:rStyle w:val="35"/>
            <w:color w:val="000000"/>
          </w:rPr>
          <w:t xml:space="preserve">Введение </w:t>
        </w:r>
        <w:r>
          <w:rPr>
            <w:rStyle w:val="35"/>
            <w:color w:val="000000"/>
          </w:rPr>
          <w:tab/>
          <w:t xml:space="preserve"> 4</w:t>
        </w:r>
      </w:hyperlink>
    </w:p>
    <w:p w14:paraId="197F4510" w14:textId="77777777" w:rsidR="008C4F12" w:rsidRDefault="008C4F12" w:rsidP="008C4F12">
      <w:pPr>
        <w:pStyle w:val="34"/>
        <w:spacing w:after="0" w:line="485" w:lineRule="exact"/>
      </w:pPr>
      <w:r>
        <w:rPr>
          <w:rStyle w:val="35"/>
          <w:color w:val="000000"/>
        </w:rPr>
        <w:t>Глава 1. Актуальные направления обучения</w:t>
      </w:r>
    </w:p>
    <w:p w14:paraId="428925B8" w14:textId="77777777" w:rsidR="008C4F12" w:rsidRDefault="008C4F12" w:rsidP="008C4F12">
      <w:pPr>
        <w:pStyle w:val="34"/>
        <w:tabs>
          <w:tab w:val="right" w:leader="dot" w:pos="8178"/>
        </w:tabs>
        <w:spacing w:after="0" w:line="485" w:lineRule="exact"/>
        <w:ind w:left="1280"/>
      </w:pPr>
      <w:r>
        <w:rPr>
          <w:rStyle w:val="35"/>
          <w:color w:val="000000"/>
        </w:rPr>
        <w:t>тактики тенниса</w:t>
      </w:r>
      <w:r>
        <w:rPr>
          <w:rStyle w:val="35"/>
          <w:color w:val="000000"/>
        </w:rPr>
        <w:tab/>
        <w:t xml:space="preserve"> 10</w:t>
      </w:r>
    </w:p>
    <w:p w14:paraId="2278D272" w14:textId="77777777" w:rsidR="008C4F12" w:rsidRDefault="008C4F12" w:rsidP="008C4F12">
      <w:pPr>
        <w:pStyle w:val="34"/>
        <w:widowControl w:val="0"/>
        <w:numPr>
          <w:ilvl w:val="0"/>
          <w:numId w:val="17"/>
        </w:numPr>
        <w:tabs>
          <w:tab w:val="left" w:pos="1090"/>
        </w:tabs>
        <w:spacing w:after="0" w:line="485" w:lineRule="exact"/>
        <w:ind w:left="540"/>
        <w:jc w:val="both"/>
      </w:pPr>
      <w:r>
        <w:rPr>
          <w:rStyle w:val="35"/>
          <w:color w:val="000000"/>
        </w:rPr>
        <w:t>Компоненты подготовки теннисиста</w:t>
      </w:r>
    </w:p>
    <w:p w14:paraId="102E27A6" w14:textId="77777777" w:rsidR="008C4F12" w:rsidRDefault="008C4F12" w:rsidP="008C4F12">
      <w:pPr>
        <w:pStyle w:val="34"/>
        <w:tabs>
          <w:tab w:val="right" w:leader="dot" w:pos="8178"/>
        </w:tabs>
        <w:spacing w:after="0" w:line="485" w:lineRule="exact"/>
        <w:ind w:left="1040"/>
      </w:pPr>
      <w:r>
        <w:rPr>
          <w:rStyle w:val="35"/>
          <w:color w:val="000000"/>
        </w:rPr>
        <w:t xml:space="preserve">к соревновательной деятельности </w:t>
      </w:r>
      <w:r>
        <w:rPr>
          <w:rStyle w:val="35"/>
          <w:color w:val="000000"/>
        </w:rPr>
        <w:tab/>
        <w:t xml:space="preserve"> 10</w:t>
      </w:r>
    </w:p>
    <w:p w14:paraId="55B3C2AD" w14:textId="77777777" w:rsidR="008C4F12" w:rsidRDefault="008C4F12" w:rsidP="008C4F12">
      <w:pPr>
        <w:pStyle w:val="34"/>
        <w:widowControl w:val="0"/>
        <w:numPr>
          <w:ilvl w:val="0"/>
          <w:numId w:val="17"/>
        </w:numPr>
        <w:tabs>
          <w:tab w:val="left" w:pos="1090"/>
        </w:tabs>
        <w:spacing w:after="0" w:line="485" w:lineRule="exact"/>
        <w:ind w:left="540"/>
        <w:jc w:val="both"/>
      </w:pPr>
      <w:r>
        <w:rPr>
          <w:rStyle w:val="35"/>
          <w:color w:val="000000"/>
        </w:rPr>
        <w:t>Моделирование игровых действий</w:t>
      </w:r>
    </w:p>
    <w:p w14:paraId="6C40499A" w14:textId="77777777" w:rsidR="008C4F12" w:rsidRDefault="008C4F12" w:rsidP="008C4F12">
      <w:pPr>
        <w:pStyle w:val="34"/>
        <w:tabs>
          <w:tab w:val="right" w:leader="dot" w:pos="8178"/>
        </w:tabs>
        <w:spacing w:after="0" w:line="485" w:lineRule="exact"/>
        <w:ind w:left="1040"/>
      </w:pPr>
      <w:r>
        <w:rPr>
          <w:rStyle w:val="35"/>
          <w:color w:val="000000"/>
        </w:rPr>
        <w:t xml:space="preserve">в теннисном матче </w:t>
      </w:r>
      <w:r>
        <w:rPr>
          <w:rStyle w:val="35"/>
          <w:color w:val="000000"/>
        </w:rPr>
        <w:tab/>
        <w:t>20</w:t>
      </w:r>
    </w:p>
    <w:p w14:paraId="79548237" w14:textId="77777777" w:rsidR="008C4F12" w:rsidRDefault="008C4F12" w:rsidP="008C4F12">
      <w:pPr>
        <w:pStyle w:val="34"/>
        <w:widowControl w:val="0"/>
        <w:numPr>
          <w:ilvl w:val="0"/>
          <w:numId w:val="17"/>
        </w:numPr>
        <w:tabs>
          <w:tab w:val="left" w:pos="1090"/>
        </w:tabs>
        <w:spacing w:after="0" w:line="485" w:lineRule="exact"/>
        <w:ind w:left="540"/>
        <w:jc w:val="both"/>
      </w:pPr>
      <w:r>
        <w:rPr>
          <w:rStyle w:val="35"/>
          <w:color w:val="000000"/>
        </w:rPr>
        <w:t>Тактическая подготовка, как фактор повышения</w:t>
      </w:r>
    </w:p>
    <w:p w14:paraId="3A148020" w14:textId="77777777" w:rsidR="008C4F12" w:rsidRDefault="008C4F12" w:rsidP="008C4F12">
      <w:pPr>
        <w:pStyle w:val="34"/>
        <w:tabs>
          <w:tab w:val="right" w:leader="dot" w:pos="8178"/>
        </w:tabs>
        <w:spacing w:after="420" w:line="485" w:lineRule="exact"/>
        <w:ind w:left="1040"/>
      </w:pPr>
      <w:r>
        <w:rPr>
          <w:rStyle w:val="35"/>
          <w:color w:val="000000"/>
        </w:rPr>
        <w:t xml:space="preserve">результативности соревновательной деятельности </w:t>
      </w:r>
      <w:r>
        <w:rPr>
          <w:rStyle w:val="35"/>
          <w:color w:val="000000"/>
        </w:rPr>
        <w:tab/>
        <w:t>26</w:t>
      </w:r>
    </w:p>
    <w:p w14:paraId="3F84271D" w14:textId="77777777" w:rsidR="008C4F12" w:rsidRDefault="008C4F12" w:rsidP="008C4F12">
      <w:pPr>
        <w:pStyle w:val="34"/>
        <w:tabs>
          <w:tab w:val="right" w:leader="dot" w:pos="8178"/>
        </w:tabs>
        <w:spacing w:after="0" w:line="485" w:lineRule="exact"/>
      </w:pPr>
      <w:hyperlink w:anchor="bookmark4" w:tooltip="Current Document" w:history="1">
        <w:r>
          <w:rPr>
            <w:rStyle w:val="35"/>
            <w:color w:val="000000"/>
          </w:rPr>
          <w:t xml:space="preserve">Глава 2. Задачи, методы и организация исследования </w:t>
        </w:r>
        <w:r>
          <w:rPr>
            <w:rStyle w:val="35"/>
            <w:color w:val="000000"/>
          </w:rPr>
          <w:tab/>
          <w:t>37</w:t>
        </w:r>
      </w:hyperlink>
    </w:p>
    <w:p w14:paraId="4BDD550F" w14:textId="77777777" w:rsidR="008C4F12" w:rsidRDefault="008C4F12" w:rsidP="008C4F12">
      <w:pPr>
        <w:pStyle w:val="34"/>
        <w:widowControl w:val="0"/>
        <w:numPr>
          <w:ilvl w:val="0"/>
          <w:numId w:val="18"/>
        </w:numPr>
        <w:tabs>
          <w:tab w:val="left" w:pos="1114"/>
          <w:tab w:val="right" w:leader="dot" w:pos="8178"/>
        </w:tabs>
        <w:spacing w:after="0" w:line="485" w:lineRule="exact"/>
        <w:ind w:left="540"/>
        <w:jc w:val="both"/>
      </w:pPr>
      <w:r>
        <w:rPr>
          <w:rStyle w:val="35"/>
          <w:color w:val="000000"/>
        </w:rPr>
        <w:t xml:space="preserve">Задачи исследования </w:t>
      </w:r>
      <w:r>
        <w:rPr>
          <w:rStyle w:val="35"/>
          <w:color w:val="000000"/>
        </w:rPr>
        <w:tab/>
        <w:t>37</w:t>
      </w:r>
    </w:p>
    <w:p w14:paraId="0514EBE8" w14:textId="77777777" w:rsidR="008C4F12" w:rsidRDefault="008C4F12" w:rsidP="008C4F12">
      <w:pPr>
        <w:pStyle w:val="34"/>
        <w:widowControl w:val="0"/>
        <w:numPr>
          <w:ilvl w:val="0"/>
          <w:numId w:val="18"/>
        </w:numPr>
        <w:tabs>
          <w:tab w:val="left" w:pos="1114"/>
          <w:tab w:val="right" w:leader="dot" w:pos="8178"/>
        </w:tabs>
        <w:spacing w:after="0" w:line="485" w:lineRule="exact"/>
        <w:ind w:left="540"/>
        <w:jc w:val="both"/>
      </w:pPr>
      <w:r>
        <w:rPr>
          <w:rStyle w:val="35"/>
          <w:color w:val="000000"/>
        </w:rPr>
        <w:t xml:space="preserve">Методы исследования </w:t>
      </w:r>
      <w:r>
        <w:rPr>
          <w:rStyle w:val="35"/>
          <w:color w:val="000000"/>
        </w:rPr>
        <w:tab/>
        <w:t xml:space="preserve"> 37</w:t>
      </w:r>
    </w:p>
    <w:p w14:paraId="0EAAD363" w14:textId="77777777" w:rsidR="008C4F12" w:rsidRDefault="008C4F12" w:rsidP="008C4F12">
      <w:pPr>
        <w:pStyle w:val="34"/>
        <w:widowControl w:val="0"/>
        <w:numPr>
          <w:ilvl w:val="0"/>
          <w:numId w:val="18"/>
        </w:numPr>
        <w:tabs>
          <w:tab w:val="left" w:pos="1114"/>
          <w:tab w:val="right" w:leader="dot" w:pos="8178"/>
        </w:tabs>
        <w:spacing w:after="424" w:line="485" w:lineRule="exact"/>
        <w:ind w:left="540"/>
        <w:jc w:val="both"/>
      </w:pPr>
      <w:r>
        <w:rPr>
          <w:rStyle w:val="35"/>
          <w:color w:val="000000"/>
        </w:rPr>
        <w:t xml:space="preserve">Организация исследования </w:t>
      </w:r>
      <w:r>
        <w:rPr>
          <w:rStyle w:val="35"/>
          <w:color w:val="000000"/>
        </w:rPr>
        <w:tab/>
        <w:t>42</w:t>
      </w:r>
    </w:p>
    <w:p w14:paraId="4A7C47F8" w14:textId="77777777" w:rsidR="008C4F12" w:rsidRDefault="008C4F12" w:rsidP="008C4F12">
      <w:pPr>
        <w:pStyle w:val="34"/>
        <w:spacing w:after="0" w:line="480" w:lineRule="exact"/>
      </w:pPr>
      <w:r>
        <w:rPr>
          <w:rStyle w:val="35"/>
          <w:color w:val="000000"/>
        </w:rPr>
        <w:t>Глава 3. Моделирование розыгрыша очка</w:t>
      </w:r>
    </w:p>
    <w:p w14:paraId="1CE1C81E" w14:textId="77777777" w:rsidR="008C4F12" w:rsidRDefault="008C4F12" w:rsidP="008C4F12">
      <w:pPr>
        <w:pStyle w:val="34"/>
        <w:tabs>
          <w:tab w:val="right" w:leader="dot" w:pos="8178"/>
        </w:tabs>
        <w:spacing w:after="0" w:line="480" w:lineRule="exact"/>
        <w:ind w:left="1040"/>
      </w:pPr>
      <w:r>
        <w:rPr>
          <w:rStyle w:val="35"/>
          <w:color w:val="000000"/>
        </w:rPr>
        <w:t xml:space="preserve">и структуры счета игры </w:t>
      </w:r>
      <w:r>
        <w:rPr>
          <w:rStyle w:val="35"/>
          <w:color w:val="000000"/>
        </w:rPr>
        <w:tab/>
        <w:t>44</w:t>
      </w:r>
    </w:p>
    <w:p w14:paraId="1CC6E444" w14:textId="77777777" w:rsidR="008C4F12" w:rsidRDefault="008C4F12" w:rsidP="008C4F12">
      <w:pPr>
        <w:pStyle w:val="34"/>
        <w:spacing w:after="0" w:line="480" w:lineRule="exact"/>
        <w:ind w:left="540"/>
      </w:pPr>
      <w:r>
        <w:rPr>
          <w:rStyle w:val="35"/>
          <w:color w:val="000000"/>
        </w:rPr>
        <w:t>3.1. Тактические особенности процесса</w:t>
      </w:r>
    </w:p>
    <w:p w14:paraId="152FD57B" w14:textId="77777777" w:rsidR="008C4F12" w:rsidRDefault="008C4F12" w:rsidP="008C4F12">
      <w:pPr>
        <w:pStyle w:val="34"/>
        <w:tabs>
          <w:tab w:val="right" w:leader="dot" w:pos="8178"/>
        </w:tabs>
        <w:spacing w:after="0" w:line="480" w:lineRule="exact"/>
        <w:ind w:left="1040"/>
      </w:pPr>
      <w:r>
        <w:rPr>
          <w:rStyle w:val="35"/>
          <w:color w:val="000000"/>
        </w:rPr>
        <w:t xml:space="preserve">розыгрыша очка </w:t>
      </w:r>
      <w:r>
        <w:rPr>
          <w:rStyle w:val="35"/>
          <w:color w:val="000000"/>
        </w:rPr>
        <w:tab/>
        <w:t>44</w:t>
      </w:r>
    </w:p>
    <w:p w14:paraId="671D7BD0" w14:textId="77777777" w:rsidR="008C4F12" w:rsidRDefault="008C4F12" w:rsidP="008C4F12">
      <w:pPr>
        <w:pStyle w:val="34"/>
        <w:widowControl w:val="0"/>
        <w:numPr>
          <w:ilvl w:val="1"/>
          <w:numId w:val="18"/>
        </w:numPr>
        <w:tabs>
          <w:tab w:val="left" w:pos="970"/>
          <w:tab w:val="center" w:leader="dot" w:pos="7974"/>
        </w:tabs>
        <w:spacing w:after="0" w:line="480" w:lineRule="exact"/>
        <w:jc w:val="both"/>
      </w:pPr>
      <w:r>
        <w:rPr>
          <w:rStyle w:val="35"/>
          <w:color w:val="000000"/>
        </w:rPr>
        <w:t xml:space="preserve">Направления подачи и ее прием </w:t>
      </w:r>
      <w:r>
        <w:rPr>
          <w:rStyle w:val="35"/>
          <w:color w:val="000000"/>
        </w:rPr>
        <w:tab/>
        <w:t>55</w:t>
      </w:r>
    </w:p>
    <w:p w14:paraId="7123DA3D" w14:textId="77777777" w:rsidR="008C4F12" w:rsidRDefault="008C4F12" w:rsidP="008C4F12">
      <w:pPr>
        <w:pStyle w:val="34"/>
        <w:widowControl w:val="0"/>
        <w:numPr>
          <w:ilvl w:val="1"/>
          <w:numId w:val="18"/>
        </w:numPr>
        <w:tabs>
          <w:tab w:val="left" w:pos="974"/>
        </w:tabs>
        <w:spacing w:after="0" w:line="480" w:lineRule="exact"/>
        <w:jc w:val="both"/>
      </w:pPr>
      <w:r>
        <w:rPr>
          <w:rStyle w:val="35"/>
          <w:color w:val="000000"/>
        </w:rPr>
        <w:t>Элементы структуры счета очков</w:t>
      </w:r>
    </w:p>
    <w:p w14:paraId="077843C9" w14:textId="77777777" w:rsidR="008C4F12" w:rsidRDefault="008C4F12" w:rsidP="008C4F12">
      <w:pPr>
        <w:pStyle w:val="34"/>
        <w:tabs>
          <w:tab w:val="center" w:leader="dot" w:pos="7974"/>
        </w:tabs>
        <w:spacing w:after="0" w:line="480" w:lineRule="exact"/>
        <w:ind w:left="880"/>
      </w:pPr>
      <w:r>
        <w:rPr>
          <w:rStyle w:val="35"/>
          <w:color w:val="000000"/>
        </w:rPr>
        <w:t xml:space="preserve">в теннисном матче </w:t>
      </w:r>
      <w:r>
        <w:rPr>
          <w:rStyle w:val="35"/>
          <w:color w:val="000000"/>
        </w:rPr>
        <w:tab/>
        <w:t>67</w:t>
      </w:r>
    </w:p>
    <w:p w14:paraId="2BCD1F9B" w14:textId="77777777" w:rsidR="008C4F12" w:rsidRDefault="008C4F12" w:rsidP="008C4F12">
      <w:pPr>
        <w:pStyle w:val="34"/>
        <w:widowControl w:val="0"/>
        <w:numPr>
          <w:ilvl w:val="1"/>
          <w:numId w:val="18"/>
        </w:numPr>
        <w:tabs>
          <w:tab w:val="left" w:pos="974"/>
        </w:tabs>
        <w:spacing w:after="0" w:line="480" w:lineRule="exact"/>
        <w:jc w:val="both"/>
      </w:pPr>
      <w:r>
        <w:rPr>
          <w:rStyle w:val="35"/>
          <w:color w:val="000000"/>
        </w:rPr>
        <w:t>Исследование значимости каждого очка</w:t>
      </w:r>
    </w:p>
    <w:p w14:paraId="77424FE0" w14:textId="77777777" w:rsidR="008C4F12" w:rsidRDefault="008C4F12" w:rsidP="008C4F12">
      <w:pPr>
        <w:pStyle w:val="34"/>
        <w:tabs>
          <w:tab w:val="left" w:leader="dot" w:pos="7758"/>
        </w:tabs>
        <w:spacing w:after="0" w:line="480" w:lineRule="exact"/>
        <w:ind w:left="880"/>
      </w:pPr>
      <w:r>
        <w:rPr>
          <w:rStyle w:val="35"/>
          <w:color w:val="000000"/>
        </w:rPr>
        <w:t xml:space="preserve">в розыгрыше гейма </w:t>
      </w:r>
      <w:r>
        <w:rPr>
          <w:rStyle w:val="35"/>
          <w:color w:val="000000"/>
        </w:rPr>
        <w:tab/>
        <w:t>75</w:t>
      </w:r>
    </w:p>
    <w:p w14:paraId="45FF4B05" w14:textId="77777777" w:rsidR="008C4F12" w:rsidRDefault="008C4F12" w:rsidP="008C4F12">
      <w:pPr>
        <w:pStyle w:val="34"/>
        <w:widowControl w:val="0"/>
        <w:numPr>
          <w:ilvl w:val="1"/>
          <w:numId w:val="18"/>
        </w:numPr>
        <w:tabs>
          <w:tab w:val="left" w:pos="974"/>
        </w:tabs>
        <w:spacing w:after="0" w:line="480" w:lineRule="exact"/>
        <w:jc w:val="both"/>
      </w:pPr>
      <w:r>
        <w:rPr>
          <w:rStyle w:val="35"/>
          <w:color w:val="000000"/>
        </w:rPr>
        <w:t>Исследование значимости каждого гейма</w:t>
      </w:r>
    </w:p>
    <w:p w14:paraId="6DEDE863" w14:textId="77777777" w:rsidR="008C4F12" w:rsidRDefault="008C4F12" w:rsidP="008C4F12">
      <w:pPr>
        <w:pStyle w:val="34"/>
        <w:tabs>
          <w:tab w:val="right" w:leader="dot" w:pos="8178"/>
        </w:tabs>
        <w:spacing w:after="0" w:line="480" w:lineRule="exact"/>
        <w:ind w:left="880"/>
      </w:pPr>
      <w:r>
        <w:rPr>
          <w:rStyle w:val="35"/>
          <w:color w:val="000000"/>
        </w:rPr>
        <w:t xml:space="preserve">и особенности системы тай-брейк </w:t>
      </w:r>
      <w:r>
        <w:rPr>
          <w:rStyle w:val="35"/>
          <w:color w:val="000000"/>
        </w:rPr>
        <w:tab/>
        <w:t>84</w:t>
      </w:r>
    </w:p>
    <w:p w14:paraId="5AF91B8B" w14:textId="77777777" w:rsidR="008C4F12" w:rsidRDefault="008C4F12" w:rsidP="008C4F12">
      <w:pPr>
        <w:pStyle w:val="30"/>
        <w:shd w:val="clear" w:color="auto" w:fill="auto"/>
        <w:spacing w:after="0" w:line="320" w:lineRule="exact"/>
        <w:ind w:left="3820"/>
      </w:pPr>
      <w:r>
        <w:lastRenderedPageBreak/>
        <w:fldChar w:fldCharType="end"/>
      </w:r>
      <w:r>
        <w:rPr>
          <w:rStyle w:val="3"/>
          <w:color w:val="000000"/>
        </w:rPr>
        <w:t>з</w:t>
      </w:r>
    </w:p>
    <w:p w14:paraId="21A28DD2" w14:textId="77777777" w:rsidR="008C4F12" w:rsidRDefault="008C4F12" w:rsidP="008C4F12">
      <w:pPr>
        <w:pStyle w:val="210"/>
        <w:shd w:val="clear" w:color="auto" w:fill="auto"/>
        <w:spacing w:before="0" w:after="0" w:line="485" w:lineRule="exact"/>
        <w:ind w:firstLine="0"/>
        <w:jc w:val="both"/>
      </w:pPr>
      <w:r>
        <w:rPr>
          <w:rStyle w:val="21"/>
          <w:color w:val="000000"/>
          <w:lang w:val="uk-UA" w:eastAsia="uk-UA"/>
        </w:rPr>
        <w:t xml:space="preserve">Глава 4. Методика </w:t>
      </w:r>
      <w:r>
        <w:rPr>
          <w:rStyle w:val="21"/>
          <w:color w:val="000000"/>
        </w:rPr>
        <w:t xml:space="preserve">интерактивного </w:t>
      </w:r>
      <w:r>
        <w:rPr>
          <w:rStyle w:val="21"/>
          <w:color w:val="000000"/>
          <w:lang w:val="uk-UA" w:eastAsia="uk-UA"/>
        </w:rPr>
        <w:t xml:space="preserve">модульного </w:t>
      </w:r>
      <w:r>
        <w:rPr>
          <w:rStyle w:val="21"/>
          <w:color w:val="000000"/>
        </w:rPr>
        <w:t>обучения тактике</w:t>
      </w:r>
    </w:p>
    <w:p w14:paraId="74278176" w14:textId="77777777" w:rsidR="008C4F12" w:rsidRDefault="008C4F12" w:rsidP="008C4F12">
      <w:pPr>
        <w:pStyle w:val="34"/>
        <w:tabs>
          <w:tab w:val="left" w:leader="dot" w:pos="7688"/>
        </w:tabs>
        <w:spacing w:after="0" w:line="485" w:lineRule="exact"/>
        <w:ind w:left="104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35"/>
          <w:color w:val="000000"/>
        </w:rPr>
        <w:t xml:space="preserve">тенниса подготовки игрока к матчу </w:t>
      </w:r>
      <w:r>
        <w:rPr>
          <w:rStyle w:val="35"/>
          <w:color w:val="000000"/>
        </w:rPr>
        <w:tab/>
        <w:t>92</w:t>
      </w:r>
    </w:p>
    <w:p w14:paraId="2A9E7358" w14:textId="77777777" w:rsidR="008C4F12" w:rsidRDefault="008C4F12" w:rsidP="008C4F12">
      <w:pPr>
        <w:pStyle w:val="34"/>
        <w:widowControl w:val="0"/>
        <w:numPr>
          <w:ilvl w:val="0"/>
          <w:numId w:val="2"/>
        </w:numPr>
        <w:tabs>
          <w:tab w:val="left" w:pos="979"/>
        </w:tabs>
        <w:spacing w:after="0" w:line="485" w:lineRule="exact"/>
        <w:jc w:val="both"/>
      </w:pPr>
      <w:r>
        <w:rPr>
          <w:rStyle w:val="35"/>
          <w:color w:val="000000"/>
        </w:rPr>
        <w:t>Организация интерактивной модульной системы</w:t>
      </w:r>
    </w:p>
    <w:p w14:paraId="1BBBCAF7" w14:textId="77777777" w:rsidR="008C4F12" w:rsidRDefault="008C4F12" w:rsidP="008C4F12">
      <w:pPr>
        <w:pStyle w:val="34"/>
        <w:tabs>
          <w:tab w:val="right" w:leader="dot" w:pos="8110"/>
        </w:tabs>
        <w:spacing w:after="0" w:line="485" w:lineRule="exact"/>
        <w:ind w:left="860"/>
      </w:pPr>
      <w:r>
        <w:rPr>
          <w:rStyle w:val="35"/>
          <w:color w:val="000000"/>
        </w:rPr>
        <w:t xml:space="preserve">тактической подготовки теннисиста </w:t>
      </w:r>
      <w:r>
        <w:rPr>
          <w:rStyle w:val="35"/>
          <w:color w:val="000000"/>
        </w:rPr>
        <w:tab/>
        <w:t>92</w:t>
      </w:r>
    </w:p>
    <w:p w14:paraId="0E6630F6" w14:textId="77777777" w:rsidR="008C4F12" w:rsidRDefault="008C4F12" w:rsidP="008C4F12">
      <w:pPr>
        <w:pStyle w:val="34"/>
        <w:widowControl w:val="0"/>
        <w:numPr>
          <w:ilvl w:val="0"/>
          <w:numId w:val="2"/>
        </w:numPr>
        <w:tabs>
          <w:tab w:val="left" w:pos="979"/>
        </w:tabs>
        <w:spacing w:after="0" w:line="485" w:lineRule="exact"/>
        <w:jc w:val="both"/>
      </w:pPr>
      <w:r>
        <w:rPr>
          <w:rStyle w:val="35"/>
          <w:color w:val="000000"/>
        </w:rPr>
        <w:t>Педагогический эксперимент внедрения в учебный процесс</w:t>
      </w:r>
    </w:p>
    <w:p w14:paraId="01710EEF" w14:textId="77777777" w:rsidR="008C4F12" w:rsidRDefault="008C4F12" w:rsidP="008C4F12">
      <w:pPr>
        <w:pStyle w:val="34"/>
        <w:tabs>
          <w:tab w:val="right" w:leader="dot" w:pos="8110"/>
        </w:tabs>
        <w:spacing w:after="0" w:line="485" w:lineRule="exact"/>
        <w:ind w:left="860"/>
      </w:pPr>
      <w:r>
        <w:rPr>
          <w:rStyle w:val="35"/>
          <w:color w:val="000000"/>
        </w:rPr>
        <w:t xml:space="preserve">элементов модульного обучения тактике игры </w:t>
      </w:r>
      <w:r>
        <w:rPr>
          <w:rStyle w:val="35"/>
          <w:color w:val="000000"/>
        </w:rPr>
        <w:tab/>
        <w:t>102</w:t>
      </w:r>
    </w:p>
    <w:p w14:paraId="695697D3" w14:textId="77777777" w:rsidR="008C4F12" w:rsidRDefault="008C4F12" w:rsidP="008C4F12">
      <w:pPr>
        <w:pStyle w:val="34"/>
        <w:tabs>
          <w:tab w:val="right" w:leader="dot" w:pos="8110"/>
        </w:tabs>
        <w:spacing w:after="0" w:line="485" w:lineRule="exact"/>
      </w:pPr>
      <w:hyperlink w:anchor="bookmark10" w:tooltip="Current Document" w:history="1">
        <w:r>
          <w:rPr>
            <w:rStyle w:val="35"/>
            <w:color w:val="000000"/>
          </w:rPr>
          <w:t xml:space="preserve">Выводы </w:t>
        </w:r>
        <w:r>
          <w:rPr>
            <w:rStyle w:val="35"/>
            <w:color w:val="000000"/>
          </w:rPr>
          <w:tab/>
          <w:t>117</w:t>
        </w:r>
      </w:hyperlink>
    </w:p>
    <w:p w14:paraId="3A0B71EA" w14:textId="77777777" w:rsidR="008C4F12" w:rsidRDefault="008C4F12" w:rsidP="008C4F12">
      <w:pPr>
        <w:pStyle w:val="34"/>
        <w:tabs>
          <w:tab w:val="right" w:leader="dot" w:pos="8110"/>
        </w:tabs>
        <w:spacing w:after="0" w:line="485" w:lineRule="exact"/>
      </w:pPr>
      <w:hyperlink w:anchor="bookmark11" w:tooltip="Current Document" w:history="1">
        <w:r>
          <w:rPr>
            <w:rStyle w:val="35"/>
            <w:color w:val="000000"/>
          </w:rPr>
          <w:t xml:space="preserve">Практические рекомендации </w:t>
        </w:r>
        <w:r>
          <w:rPr>
            <w:rStyle w:val="35"/>
            <w:color w:val="000000"/>
          </w:rPr>
          <w:tab/>
          <w:t>120</w:t>
        </w:r>
      </w:hyperlink>
    </w:p>
    <w:p w14:paraId="641DF167" w14:textId="77777777" w:rsidR="008C4F12" w:rsidRDefault="008C4F12" w:rsidP="008C4F12">
      <w:pPr>
        <w:pStyle w:val="34"/>
        <w:tabs>
          <w:tab w:val="right" w:leader="dot" w:pos="8110"/>
        </w:tabs>
        <w:spacing w:after="0" w:line="485" w:lineRule="exact"/>
      </w:pPr>
      <w:hyperlink w:anchor="bookmark12" w:tooltip="Current Document" w:history="1">
        <w:r>
          <w:rPr>
            <w:rStyle w:val="35"/>
            <w:color w:val="000000"/>
          </w:rPr>
          <w:t xml:space="preserve">Список литературы </w:t>
        </w:r>
        <w:r>
          <w:rPr>
            <w:rStyle w:val="35"/>
            <w:color w:val="000000"/>
          </w:rPr>
          <w:tab/>
          <w:t>123</w:t>
        </w:r>
      </w:hyperlink>
    </w:p>
    <w:p w14:paraId="6BC2DCA0" w14:textId="77777777" w:rsidR="008C4F12" w:rsidRDefault="008C4F12" w:rsidP="008C4F12">
      <w:pPr>
        <w:pStyle w:val="34"/>
        <w:tabs>
          <w:tab w:val="right" w:leader="dot" w:pos="8110"/>
        </w:tabs>
        <w:spacing w:after="0" w:line="485" w:lineRule="exact"/>
        <w:sectPr w:rsidR="008C4F12">
          <w:pgSz w:w="10939" w:h="16882"/>
          <w:pgMar w:top="990" w:right="411" w:bottom="2010" w:left="2008" w:header="0" w:footer="3" w:gutter="0"/>
          <w:cols w:space="720"/>
          <w:noEndnote/>
          <w:docGrid w:linePitch="360"/>
        </w:sectPr>
      </w:pPr>
      <w:r>
        <w:rPr>
          <w:rStyle w:val="35"/>
          <w:color w:val="000000"/>
        </w:rPr>
        <w:t xml:space="preserve">Приложения </w:t>
      </w:r>
      <w:r>
        <w:rPr>
          <w:rStyle w:val="35"/>
          <w:color w:val="000000"/>
        </w:rPr>
        <w:tab/>
        <w:t>139</w:t>
      </w:r>
    </w:p>
    <w:p w14:paraId="32D0633E" w14:textId="52D86966" w:rsidR="00394C6E" w:rsidRDefault="008C4F12" w:rsidP="008C4F12">
      <w:r>
        <w:lastRenderedPageBreak/>
        <w:fldChar w:fldCharType="end"/>
      </w:r>
    </w:p>
    <w:p w14:paraId="39B0BF65" w14:textId="77777777" w:rsidR="008C4F12" w:rsidRDefault="008C4F12" w:rsidP="008C4F12">
      <w:pPr>
        <w:pStyle w:val="33"/>
        <w:keepNext/>
        <w:keepLines/>
        <w:shd w:val="clear" w:color="auto" w:fill="auto"/>
        <w:spacing w:after="486" w:line="260" w:lineRule="exact"/>
        <w:ind w:left="4140"/>
      </w:pPr>
      <w:bookmarkStart w:id="0" w:name="bookmark10"/>
      <w:r>
        <w:rPr>
          <w:rStyle w:val="32"/>
          <w:b/>
          <w:bCs/>
          <w:color w:val="000000"/>
        </w:rPr>
        <w:t>Выводы</w:t>
      </w:r>
      <w:bookmarkEnd w:id="0"/>
    </w:p>
    <w:p w14:paraId="4CAB6107" w14:textId="77777777" w:rsidR="008C4F12" w:rsidRDefault="008C4F12" w:rsidP="008C4F12">
      <w:pPr>
        <w:pStyle w:val="210"/>
        <w:shd w:val="clear" w:color="auto" w:fill="auto"/>
        <w:spacing w:before="0" w:after="0" w:line="480" w:lineRule="exact"/>
        <w:ind w:firstLine="540"/>
        <w:jc w:val="both"/>
      </w:pPr>
      <w:r>
        <w:rPr>
          <w:rStyle w:val="21"/>
          <w:color w:val="000000"/>
        </w:rPr>
        <w:t>Обзор и анализ актуальных направлений развития тенниса выявил не</w:t>
      </w:r>
      <w:r>
        <w:rPr>
          <w:rStyle w:val="21"/>
          <w:color w:val="000000"/>
        </w:rPr>
        <w:softHyphen/>
        <w:t>достаточную разработанность и применение в учебно-тренировочном про</w:t>
      </w:r>
      <w:r>
        <w:rPr>
          <w:rStyle w:val="21"/>
          <w:color w:val="000000"/>
        </w:rPr>
        <w:softHyphen/>
        <w:t>цессе современного компьютерного обеспечения для моделирования такти</w:t>
      </w:r>
      <w:r>
        <w:rPr>
          <w:rStyle w:val="21"/>
          <w:color w:val="000000"/>
        </w:rPr>
        <w:softHyphen/>
        <w:t>ки игры. Отдавая должное объему и качеству теоретического и практиче</w:t>
      </w:r>
      <w:r>
        <w:rPr>
          <w:rStyle w:val="21"/>
          <w:color w:val="000000"/>
        </w:rPr>
        <w:softHyphen/>
        <w:t>ского наследия отечественных и зарубежных ученых и педагогов, концеп</w:t>
      </w:r>
      <w:r>
        <w:rPr>
          <w:rStyle w:val="21"/>
          <w:color w:val="000000"/>
        </w:rPr>
        <w:softHyphen/>
        <w:t>ция непрерывного совершенствования средств и методов обучения предпо</w:t>
      </w:r>
      <w:r>
        <w:rPr>
          <w:rStyle w:val="21"/>
          <w:color w:val="000000"/>
        </w:rPr>
        <w:softHyphen/>
        <w:t>лагает создание новой компьютерной технологии подготовки теннисистов к турнирам разного ранга.</w:t>
      </w:r>
    </w:p>
    <w:p w14:paraId="65B6337D" w14:textId="77777777" w:rsidR="008C4F12" w:rsidRDefault="008C4F12" w:rsidP="008C4F12">
      <w:pPr>
        <w:pStyle w:val="210"/>
        <w:numPr>
          <w:ilvl w:val="0"/>
          <w:numId w:val="23"/>
        </w:numPr>
        <w:shd w:val="clear" w:color="auto" w:fill="auto"/>
        <w:tabs>
          <w:tab w:val="left" w:pos="674"/>
        </w:tabs>
        <w:spacing w:before="0" w:after="0" w:line="480" w:lineRule="exact"/>
        <w:ind w:firstLine="400"/>
        <w:jc w:val="both"/>
      </w:pPr>
      <w:r>
        <w:rPr>
          <w:rStyle w:val="21"/>
          <w:color w:val="000000"/>
        </w:rPr>
        <w:t>Детерминированное изложение учебного материала и доминантная роль преподавателя по отношению к объекту обучения, а также неполное использование накопленного игрового потенциала в значительной степени снижают качество подготовки теннисиста к соревновательной деятельно</w:t>
      </w:r>
      <w:r>
        <w:rPr>
          <w:rStyle w:val="21"/>
          <w:color w:val="000000"/>
        </w:rPr>
        <w:softHyphen/>
        <w:t>сти. Поэтому, формируя очередные задачи учебно-тренировочного процесса необходимы как прямые, так и обратные связи с объектом обучения на каж</w:t>
      </w:r>
      <w:r>
        <w:rPr>
          <w:rStyle w:val="21"/>
          <w:color w:val="000000"/>
        </w:rPr>
        <w:softHyphen/>
        <w:t>дом уровне его индивидуальных способностей к соревновательной деятель</w:t>
      </w:r>
      <w:r>
        <w:rPr>
          <w:rStyle w:val="21"/>
          <w:color w:val="000000"/>
        </w:rPr>
        <w:softHyphen/>
        <w:t>ности.</w:t>
      </w:r>
    </w:p>
    <w:p w14:paraId="19E23C79" w14:textId="77777777" w:rsidR="008C4F12" w:rsidRDefault="008C4F12" w:rsidP="008C4F12">
      <w:pPr>
        <w:pStyle w:val="210"/>
        <w:numPr>
          <w:ilvl w:val="0"/>
          <w:numId w:val="23"/>
        </w:numPr>
        <w:shd w:val="clear" w:color="auto" w:fill="auto"/>
        <w:tabs>
          <w:tab w:val="left" w:pos="674"/>
        </w:tabs>
        <w:spacing w:before="0" w:after="0" w:line="480" w:lineRule="exact"/>
        <w:ind w:firstLine="400"/>
        <w:jc w:val="both"/>
      </w:pPr>
      <w:r>
        <w:rPr>
          <w:rStyle w:val="21"/>
          <w:color w:val="000000"/>
        </w:rPr>
        <w:t>Современная теория тактической подготовки игроков, опирающаяся на методологию интегрированных подходов, а также возможности смеж</w:t>
      </w:r>
      <w:r>
        <w:rPr>
          <w:rStyle w:val="21"/>
          <w:color w:val="000000"/>
        </w:rPr>
        <w:softHyphen/>
        <w:t>ных дисциплин, позволили разработать и обеспечить компьютерную систе</w:t>
      </w:r>
      <w:r>
        <w:rPr>
          <w:rStyle w:val="21"/>
          <w:color w:val="000000"/>
        </w:rPr>
        <w:softHyphen/>
        <w:t>му организации знаний, которая отличается функциональной полнотой и внутренней непротиворечивостью на каждом этапе учебно-тренировочного процесса, повышая, объективность оценки и самооценки усвоения разделов учебной программы. Формализация и расчленение педагогического процес</w:t>
      </w:r>
      <w:r>
        <w:rPr>
          <w:rStyle w:val="21"/>
          <w:color w:val="000000"/>
        </w:rPr>
        <w:softHyphen/>
        <w:t>са на составляющие модульные элементы позволяет средствами и методами компьютерного обеспечения организовать переход к новой интерактивной технологии обучения и подготовки игроков к теннисным турнирам.</w:t>
      </w:r>
    </w:p>
    <w:p w14:paraId="17369D51" w14:textId="77777777" w:rsidR="008C4F12" w:rsidRDefault="008C4F12" w:rsidP="008C4F12">
      <w:pPr>
        <w:pStyle w:val="210"/>
        <w:numPr>
          <w:ilvl w:val="0"/>
          <w:numId w:val="23"/>
        </w:numPr>
        <w:shd w:val="clear" w:color="auto" w:fill="auto"/>
        <w:tabs>
          <w:tab w:val="left" w:pos="662"/>
        </w:tabs>
        <w:spacing w:before="0" w:after="0" w:line="480" w:lineRule="exact"/>
        <w:ind w:firstLine="360"/>
        <w:jc w:val="both"/>
      </w:pPr>
      <w:r>
        <w:rPr>
          <w:rStyle w:val="21"/>
          <w:color w:val="000000"/>
        </w:rPr>
        <w:lastRenderedPageBreak/>
        <w:t>Педагогические наблюдения за тренировочным процессом и соревно</w:t>
      </w:r>
      <w:r>
        <w:rPr>
          <w:rStyle w:val="21"/>
          <w:color w:val="000000"/>
        </w:rPr>
        <w:softHyphen/>
        <w:t>вательной деятельностью на теннисных турнирах разного ранга позволили выявить следующие особенности тактики розыгрыша очка:</w:t>
      </w:r>
    </w:p>
    <w:p w14:paraId="253DD81C" w14:textId="77777777" w:rsidR="008C4F12" w:rsidRDefault="008C4F12" w:rsidP="008C4F12">
      <w:pPr>
        <w:pStyle w:val="210"/>
        <w:numPr>
          <w:ilvl w:val="0"/>
          <w:numId w:val="22"/>
        </w:numPr>
        <w:shd w:val="clear" w:color="auto" w:fill="auto"/>
        <w:tabs>
          <w:tab w:val="left" w:pos="390"/>
        </w:tabs>
        <w:spacing w:before="0" w:after="0" w:line="480" w:lineRule="exact"/>
        <w:ind w:firstLine="200"/>
        <w:jc w:val="both"/>
      </w:pPr>
      <w:r>
        <w:rPr>
          <w:rStyle w:val="21"/>
          <w:color w:val="000000"/>
        </w:rPr>
        <w:t>обладая меньшей, чем мяч скоростью игрок не всегда успевает выпол</w:t>
      </w:r>
      <w:r>
        <w:rPr>
          <w:rStyle w:val="21"/>
          <w:color w:val="000000"/>
        </w:rPr>
        <w:softHyphen/>
        <w:t>нить удар ракеткой, потому что создается зона (мертвая) недоступных ему позиций;</w:t>
      </w:r>
    </w:p>
    <w:p w14:paraId="5098800A" w14:textId="77777777" w:rsidR="008C4F12" w:rsidRDefault="008C4F12" w:rsidP="008C4F12">
      <w:pPr>
        <w:pStyle w:val="210"/>
        <w:numPr>
          <w:ilvl w:val="0"/>
          <w:numId w:val="22"/>
        </w:numPr>
        <w:shd w:val="clear" w:color="auto" w:fill="auto"/>
        <w:tabs>
          <w:tab w:val="left" w:pos="385"/>
        </w:tabs>
        <w:spacing w:before="0" w:after="0" w:line="480" w:lineRule="exact"/>
        <w:ind w:firstLine="200"/>
        <w:jc w:val="both"/>
      </w:pPr>
      <w:r>
        <w:rPr>
          <w:rStyle w:val="21"/>
          <w:color w:val="000000"/>
        </w:rPr>
        <w:t>по направлению движения мяча с каждой стороны существует зона (жи</w:t>
      </w:r>
      <w:r>
        <w:rPr>
          <w:rStyle w:val="21"/>
          <w:color w:val="000000"/>
        </w:rPr>
        <w:softHyphen/>
        <w:t xml:space="preserve">вая) доступных позиций, т.е. геометрическое место точек площадки, откуда игрок может </w:t>
      </w:r>
      <w:proofErr w:type="gramStart"/>
      <w:r>
        <w:rPr>
          <w:rStyle w:val="21"/>
          <w:color w:val="000000"/>
        </w:rPr>
        <w:t>во время</w:t>
      </w:r>
      <w:proofErr w:type="gramEnd"/>
      <w:r>
        <w:rPr>
          <w:rStyle w:val="21"/>
          <w:color w:val="000000"/>
        </w:rPr>
        <w:t xml:space="preserve"> подойти к мячу;</w:t>
      </w:r>
    </w:p>
    <w:p w14:paraId="0574DF9F" w14:textId="77777777" w:rsidR="008C4F12" w:rsidRDefault="008C4F12" w:rsidP="008C4F12">
      <w:pPr>
        <w:pStyle w:val="210"/>
        <w:numPr>
          <w:ilvl w:val="0"/>
          <w:numId w:val="22"/>
        </w:numPr>
        <w:shd w:val="clear" w:color="auto" w:fill="auto"/>
        <w:tabs>
          <w:tab w:val="left" w:pos="390"/>
        </w:tabs>
        <w:spacing w:before="0" w:after="0" w:line="480" w:lineRule="exact"/>
        <w:ind w:firstLine="200"/>
        <w:jc w:val="both"/>
      </w:pPr>
      <w:r>
        <w:rPr>
          <w:rStyle w:val="21"/>
          <w:color w:val="000000"/>
        </w:rPr>
        <w:t>критический (предельный) угол сближения вплотную с мячом является границей зоны, где длина линии возможного контакта ракетки с мячом за</w:t>
      </w:r>
      <w:r>
        <w:rPr>
          <w:rStyle w:val="21"/>
          <w:color w:val="000000"/>
        </w:rPr>
        <w:softHyphen/>
        <w:t>висит от начальной позиции игроков и величины критического угла, уста</w:t>
      </w:r>
      <w:r>
        <w:rPr>
          <w:rStyle w:val="21"/>
          <w:color w:val="000000"/>
        </w:rPr>
        <w:softHyphen/>
        <w:t>новленного соотношением скорости мяча и быстроты теннисиста.</w:t>
      </w:r>
    </w:p>
    <w:p w14:paraId="6FB37E06" w14:textId="77777777" w:rsidR="008C4F12" w:rsidRDefault="008C4F12" w:rsidP="008C4F12">
      <w:pPr>
        <w:pStyle w:val="210"/>
        <w:numPr>
          <w:ilvl w:val="0"/>
          <w:numId w:val="24"/>
        </w:numPr>
        <w:shd w:val="clear" w:color="auto" w:fill="auto"/>
        <w:tabs>
          <w:tab w:val="left" w:pos="495"/>
        </w:tabs>
        <w:spacing w:before="0" w:after="0" w:line="480" w:lineRule="exact"/>
        <w:ind w:firstLine="200"/>
        <w:jc w:val="both"/>
      </w:pPr>
      <w:r>
        <w:rPr>
          <w:rStyle w:val="21"/>
          <w:color w:val="000000"/>
        </w:rPr>
        <w:t>Разработанные интерактивные модули обучения тактике розыгрыша оч</w:t>
      </w:r>
      <w:r>
        <w:rPr>
          <w:rStyle w:val="21"/>
          <w:color w:val="000000"/>
        </w:rPr>
        <w:softHyphen/>
        <w:t>ка обеспечивают оперативное моделирование различных игровых эпизодов, позволяя установить возможность своевременного подхода к мячу и пере</w:t>
      </w:r>
      <w:r>
        <w:rPr>
          <w:rStyle w:val="21"/>
          <w:color w:val="000000"/>
        </w:rPr>
        <w:softHyphen/>
        <w:t>мещения на тактически выгодную позицию площадки.</w:t>
      </w:r>
    </w:p>
    <w:p w14:paraId="53F68CE9" w14:textId="77777777" w:rsidR="008C4F12" w:rsidRDefault="008C4F12" w:rsidP="008C4F12">
      <w:pPr>
        <w:pStyle w:val="210"/>
        <w:numPr>
          <w:ilvl w:val="0"/>
          <w:numId w:val="24"/>
        </w:numPr>
        <w:shd w:val="clear" w:color="auto" w:fill="auto"/>
        <w:tabs>
          <w:tab w:val="left" w:pos="490"/>
        </w:tabs>
        <w:spacing w:before="0" w:after="0" w:line="480" w:lineRule="exact"/>
        <w:ind w:firstLine="200"/>
        <w:jc w:val="both"/>
      </w:pPr>
      <w:r>
        <w:rPr>
          <w:rStyle w:val="21"/>
          <w:color w:val="000000"/>
        </w:rPr>
        <w:t>В системе счета игры по результатам педагогических наблюдений за со</w:t>
      </w:r>
      <w:r>
        <w:rPr>
          <w:rStyle w:val="21"/>
          <w:color w:val="000000"/>
        </w:rPr>
        <w:softHyphen/>
        <w:t>ревновательной деятельностью после обработки полученных данных уста</w:t>
      </w:r>
      <w:r>
        <w:rPr>
          <w:rStyle w:val="21"/>
          <w:color w:val="000000"/>
        </w:rPr>
        <w:softHyphen/>
        <w:t>новлены следующие закономерности:</w:t>
      </w:r>
    </w:p>
    <w:p w14:paraId="3488B3AB" w14:textId="77777777" w:rsidR="008C4F12" w:rsidRDefault="008C4F12" w:rsidP="008C4F12">
      <w:pPr>
        <w:pStyle w:val="210"/>
        <w:numPr>
          <w:ilvl w:val="0"/>
          <w:numId w:val="22"/>
        </w:numPr>
        <w:shd w:val="clear" w:color="auto" w:fill="auto"/>
        <w:tabs>
          <w:tab w:val="left" w:pos="390"/>
        </w:tabs>
        <w:spacing w:before="0" w:after="0" w:line="480" w:lineRule="exact"/>
        <w:ind w:firstLine="200"/>
        <w:jc w:val="both"/>
      </w:pPr>
      <w:r>
        <w:rPr>
          <w:rStyle w:val="21"/>
          <w:color w:val="000000"/>
        </w:rPr>
        <w:t>в игре с равными шансами сторон порядковый номер выигранного очка не влияет на вектор предельного распределения вероятностей завершения гейма, однако важная роль принадлежит первому и третьему очку, предос</w:t>
      </w:r>
      <w:r>
        <w:rPr>
          <w:rStyle w:val="21"/>
          <w:color w:val="000000"/>
        </w:rPr>
        <w:softHyphen/>
        <w:t>тавляя игроку возможность на досрочную победу, например со счетом 4:0 или 4:1 в коротком гейме;</w:t>
      </w:r>
    </w:p>
    <w:p w14:paraId="7B61659C" w14:textId="77777777" w:rsidR="008C4F12" w:rsidRDefault="008C4F12" w:rsidP="008C4F12">
      <w:pPr>
        <w:pStyle w:val="210"/>
        <w:numPr>
          <w:ilvl w:val="0"/>
          <w:numId w:val="22"/>
        </w:numPr>
        <w:shd w:val="clear" w:color="auto" w:fill="auto"/>
        <w:tabs>
          <w:tab w:val="left" w:pos="385"/>
        </w:tabs>
        <w:spacing w:before="0" w:after="0" w:line="480" w:lineRule="exact"/>
        <w:ind w:firstLine="200"/>
        <w:jc w:val="both"/>
      </w:pPr>
      <w:r>
        <w:rPr>
          <w:rStyle w:val="21"/>
          <w:color w:val="000000"/>
        </w:rPr>
        <w:t xml:space="preserve">в длинном гейме (6 и более очков) наступает период игровой баланса счета, который не является устойчивым, обеспечивая его завершение даже при равном мастерстве игроков т.к. вероятность повторение счета "ровно" стремительно </w:t>
      </w:r>
      <w:r>
        <w:rPr>
          <w:rStyle w:val="21"/>
          <w:color w:val="000000"/>
        </w:rPr>
        <w:lastRenderedPageBreak/>
        <w:t>сходится к нулю;</w:t>
      </w:r>
    </w:p>
    <w:p w14:paraId="6283FE3E" w14:textId="77777777" w:rsidR="008C4F12" w:rsidRDefault="008C4F12" w:rsidP="008C4F12">
      <w:pPr>
        <w:pStyle w:val="210"/>
        <w:numPr>
          <w:ilvl w:val="0"/>
          <w:numId w:val="22"/>
        </w:numPr>
        <w:shd w:val="clear" w:color="auto" w:fill="auto"/>
        <w:tabs>
          <w:tab w:val="left" w:pos="390"/>
        </w:tabs>
        <w:spacing w:before="0" w:after="0" w:line="480" w:lineRule="exact"/>
        <w:ind w:firstLine="200"/>
        <w:jc w:val="both"/>
      </w:pPr>
      <w:r>
        <w:rPr>
          <w:rStyle w:val="21"/>
          <w:color w:val="000000"/>
        </w:rPr>
        <w:t>обладая преимуществом в первом квадрате подачи в случае не четной суммы разыгрываемых очков, шансы на победу повышаются, однако дан</w:t>
      </w:r>
      <w:r>
        <w:rPr>
          <w:rStyle w:val="21"/>
          <w:color w:val="000000"/>
        </w:rPr>
        <w:softHyphen/>
        <w:t>ное явление отсутствует при четной сумме разыгрываемых очков, напри</w:t>
      </w:r>
      <w:r>
        <w:rPr>
          <w:rStyle w:val="21"/>
          <w:color w:val="000000"/>
        </w:rPr>
        <w:softHyphen/>
        <w:t>мер, в состоянии игрового баланса изменения счета;</w:t>
      </w:r>
    </w:p>
    <w:p w14:paraId="7CBD7200" w14:textId="77777777" w:rsidR="008C4F12" w:rsidRDefault="008C4F12" w:rsidP="008C4F12">
      <w:pPr>
        <w:pStyle w:val="210"/>
        <w:numPr>
          <w:ilvl w:val="0"/>
          <w:numId w:val="22"/>
        </w:numPr>
        <w:shd w:val="clear" w:color="auto" w:fill="auto"/>
        <w:tabs>
          <w:tab w:val="left" w:pos="390"/>
        </w:tabs>
        <w:spacing w:before="0" w:after="0" w:line="480" w:lineRule="exact"/>
        <w:ind w:firstLine="200"/>
        <w:jc w:val="both"/>
      </w:pPr>
      <w:r>
        <w:rPr>
          <w:rStyle w:val="21"/>
          <w:color w:val="000000"/>
        </w:rPr>
        <w:t>в отличие от распространенного мнения порядковый номер выигранного гейма не влияет на вектор предельного распределения вероятностей завер</w:t>
      </w:r>
      <w:r>
        <w:rPr>
          <w:rStyle w:val="21"/>
          <w:color w:val="000000"/>
        </w:rPr>
        <w:softHyphen/>
        <w:t>шения сета, где седьмой гейм не влияет на общий исход сета, т.к. большое значение имеет фактор выполнения теннисистом подачи.</w:t>
      </w:r>
    </w:p>
    <w:p w14:paraId="0ACB7645" w14:textId="77777777" w:rsidR="008C4F12" w:rsidRDefault="008C4F12" w:rsidP="008C4F12">
      <w:pPr>
        <w:pStyle w:val="210"/>
        <w:numPr>
          <w:ilvl w:val="0"/>
          <w:numId w:val="24"/>
        </w:numPr>
        <w:shd w:val="clear" w:color="auto" w:fill="auto"/>
        <w:tabs>
          <w:tab w:val="left" w:pos="831"/>
        </w:tabs>
        <w:spacing w:before="0" w:after="0" w:line="480" w:lineRule="exact"/>
        <w:ind w:firstLine="560"/>
        <w:jc w:val="both"/>
      </w:pPr>
      <w:r>
        <w:rPr>
          <w:rStyle w:val="21"/>
          <w:color w:val="000000"/>
        </w:rPr>
        <w:t>Компьютерное моделирование на основе разработанной стохастиче</w:t>
      </w:r>
      <w:r>
        <w:rPr>
          <w:rStyle w:val="21"/>
          <w:color w:val="000000"/>
        </w:rPr>
        <w:softHyphen/>
        <w:t>ской структуры счета очков позволяет выявить оптимальную стратегию проведения матча с конкретным соперником, а также при большом количе</w:t>
      </w:r>
      <w:r>
        <w:rPr>
          <w:rStyle w:val="21"/>
          <w:color w:val="000000"/>
        </w:rPr>
        <w:softHyphen/>
        <w:t>стве разыгрываемых очков повышает вероятность предсказания конечного результата.</w:t>
      </w:r>
    </w:p>
    <w:p w14:paraId="3A84E9BE" w14:textId="77777777" w:rsidR="008C4F12" w:rsidRDefault="008C4F12" w:rsidP="008C4F12">
      <w:pPr>
        <w:pStyle w:val="210"/>
        <w:numPr>
          <w:ilvl w:val="0"/>
          <w:numId w:val="24"/>
        </w:numPr>
        <w:shd w:val="clear" w:color="auto" w:fill="auto"/>
        <w:tabs>
          <w:tab w:val="left" w:pos="836"/>
        </w:tabs>
        <w:spacing w:before="0" w:after="0" w:line="480" w:lineRule="exact"/>
        <w:ind w:firstLine="560"/>
        <w:jc w:val="both"/>
      </w:pPr>
      <w:r>
        <w:rPr>
          <w:rStyle w:val="21"/>
          <w:color w:val="000000"/>
        </w:rPr>
        <w:t>Педагогический эксперимент по внедрению разработанных элемен</w:t>
      </w:r>
      <w:r>
        <w:rPr>
          <w:rStyle w:val="21"/>
          <w:color w:val="000000"/>
        </w:rPr>
        <w:softHyphen/>
        <w:t>тов установил положительный характер модульного обучения тактике тен</w:t>
      </w:r>
      <w:r>
        <w:rPr>
          <w:rStyle w:val="21"/>
          <w:color w:val="000000"/>
        </w:rPr>
        <w:softHyphen/>
        <w:t>ниса с достоверным изменением параметров (</w:t>
      </w:r>
      <w:proofErr w:type="gramStart"/>
      <w:r>
        <w:rPr>
          <w:rStyle w:val="21"/>
          <w:color w:val="000000"/>
        </w:rPr>
        <w:t>р&lt;</w:t>
      </w:r>
      <w:proofErr w:type="gramEnd"/>
      <w:r>
        <w:rPr>
          <w:rStyle w:val="21"/>
          <w:color w:val="000000"/>
        </w:rPr>
        <w:t>0,01). Результаты экспери</w:t>
      </w:r>
      <w:r>
        <w:rPr>
          <w:rStyle w:val="21"/>
          <w:color w:val="000000"/>
        </w:rPr>
        <w:softHyphen/>
        <w:t>ментальной группы обучения свидетельствуют, что общий уровень тактиче</w:t>
      </w:r>
      <w:r>
        <w:rPr>
          <w:rStyle w:val="21"/>
          <w:color w:val="000000"/>
        </w:rPr>
        <w:softHyphen/>
        <w:t>ской подготовленности при завершении атаки повысился на 53,1 %.</w:t>
      </w:r>
    </w:p>
    <w:p w14:paraId="1807EC1A" w14:textId="77777777" w:rsidR="008C4F12" w:rsidRDefault="008C4F12" w:rsidP="008C4F12">
      <w:pPr>
        <w:pStyle w:val="210"/>
        <w:numPr>
          <w:ilvl w:val="0"/>
          <w:numId w:val="24"/>
        </w:numPr>
        <w:shd w:val="clear" w:color="auto" w:fill="auto"/>
        <w:tabs>
          <w:tab w:val="left" w:pos="827"/>
        </w:tabs>
        <w:spacing w:before="0" w:after="0" w:line="480" w:lineRule="exact"/>
        <w:ind w:firstLine="560"/>
        <w:jc w:val="both"/>
      </w:pPr>
      <w:r>
        <w:rPr>
          <w:rStyle w:val="21"/>
          <w:color w:val="000000"/>
        </w:rPr>
        <w:t>Положительные изменения произошли за счет следующих взаимо</w:t>
      </w:r>
      <w:r>
        <w:rPr>
          <w:rStyle w:val="21"/>
          <w:color w:val="000000"/>
        </w:rPr>
        <w:softHyphen/>
        <w:t>связанных и взаимодействующих факторов:</w:t>
      </w:r>
    </w:p>
    <w:p w14:paraId="02F95F44" w14:textId="77777777" w:rsidR="008C4F12" w:rsidRDefault="008C4F12" w:rsidP="008C4F12">
      <w:pPr>
        <w:pStyle w:val="210"/>
        <w:numPr>
          <w:ilvl w:val="0"/>
          <w:numId w:val="22"/>
        </w:numPr>
        <w:shd w:val="clear" w:color="auto" w:fill="auto"/>
        <w:tabs>
          <w:tab w:val="left" w:pos="267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применения разработанных моделей и методов тактической подготовки теннисистов на основе новой компьютерной технологии обучения;</w:t>
      </w:r>
    </w:p>
    <w:p w14:paraId="33C8618F" w14:textId="77777777" w:rsidR="008C4F12" w:rsidRDefault="008C4F12" w:rsidP="008C4F12">
      <w:pPr>
        <w:pStyle w:val="210"/>
        <w:numPr>
          <w:ilvl w:val="0"/>
          <w:numId w:val="22"/>
        </w:numPr>
        <w:shd w:val="clear" w:color="auto" w:fill="auto"/>
        <w:tabs>
          <w:tab w:val="left" w:pos="267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наличия критериев оценки тактических комбинаций и рейтинговый кон</w:t>
      </w:r>
      <w:r>
        <w:rPr>
          <w:rStyle w:val="21"/>
          <w:color w:val="000000"/>
        </w:rPr>
        <w:softHyphen/>
        <w:t>троль, который обеспечивает объективность и состязательную мотивацию процесса обучения;</w:t>
      </w:r>
    </w:p>
    <w:p w14:paraId="29538B16" w14:textId="77777777" w:rsidR="008C4F12" w:rsidRDefault="008C4F12" w:rsidP="008C4F12">
      <w:pPr>
        <w:pStyle w:val="210"/>
        <w:numPr>
          <w:ilvl w:val="0"/>
          <w:numId w:val="22"/>
        </w:numPr>
        <w:shd w:val="clear" w:color="auto" w:fill="auto"/>
        <w:tabs>
          <w:tab w:val="left" w:pos="267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расширения спектра дидактических возможностей при совместной дея</w:t>
      </w:r>
      <w:r>
        <w:rPr>
          <w:rStyle w:val="21"/>
          <w:color w:val="000000"/>
        </w:rPr>
        <w:softHyphen/>
      </w:r>
      <w:r>
        <w:rPr>
          <w:rStyle w:val="21"/>
          <w:color w:val="000000"/>
        </w:rPr>
        <w:lastRenderedPageBreak/>
        <w:t>тельности тренера-преподавателя и объекта обучения средствами компью</w:t>
      </w:r>
      <w:r>
        <w:rPr>
          <w:rStyle w:val="21"/>
          <w:color w:val="000000"/>
        </w:rPr>
        <w:softHyphen/>
        <w:t>терного моделирования тактики игры в интерактивном режиме.</w:t>
      </w:r>
    </w:p>
    <w:p w14:paraId="53504605" w14:textId="77777777" w:rsidR="008C4F12" w:rsidRPr="008C4F12" w:rsidRDefault="008C4F12" w:rsidP="008C4F12"/>
    <w:sectPr w:rsidR="008C4F12" w:rsidRPr="008C4F12">
      <w:headerReference w:type="default" r:id="rId9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26BC4" w14:textId="77777777" w:rsidR="00291316" w:rsidRDefault="00291316">
      <w:pPr>
        <w:spacing w:after="0" w:line="240" w:lineRule="auto"/>
      </w:pPr>
      <w:r>
        <w:separator/>
      </w:r>
    </w:p>
  </w:endnote>
  <w:endnote w:type="continuationSeparator" w:id="0">
    <w:p w14:paraId="67C12E93" w14:textId="77777777" w:rsidR="00291316" w:rsidRDefault="00291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9B5D2" w14:textId="77777777" w:rsidR="00291316" w:rsidRDefault="00291316">
      <w:pPr>
        <w:spacing w:after="0" w:line="240" w:lineRule="auto"/>
      </w:pPr>
      <w:r>
        <w:separator/>
      </w:r>
    </w:p>
  </w:footnote>
  <w:footnote w:type="continuationSeparator" w:id="0">
    <w:p w14:paraId="35561EF8" w14:textId="77777777" w:rsidR="00291316" w:rsidRDefault="00291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7B4D6" w14:textId="4A78ABF0" w:rsidR="008C4F12" w:rsidRDefault="008C4F1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0C9CA97B" wp14:editId="1BE20F7B">
              <wp:simplePos x="0" y="0"/>
              <wp:positionH relativeFrom="page">
                <wp:posOffset>3687445</wp:posOffset>
              </wp:positionH>
              <wp:positionV relativeFrom="page">
                <wp:posOffset>375920</wp:posOffset>
              </wp:positionV>
              <wp:extent cx="76835" cy="175260"/>
              <wp:effectExtent l="1270" t="4445" r="0" b="1270"/>
              <wp:wrapNone/>
              <wp:docPr id="9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E7BFE" w14:textId="77777777" w:rsidR="008C4F12" w:rsidRDefault="008C4F12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pt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9CA97B"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26" type="#_x0000_t202" style="position:absolute;margin-left:290.35pt;margin-top:29.6pt;width:6.05pt;height:13.8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" filled="f" stroked="f">
              <v:textbox style="mso-fit-shape-to-text:t" inset="0,0,0,0">
                <w:txbxContent>
                  <w:p w14:paraId="711E7BFE" w14:textId="77777777" w:rsidR="008C4F12" w:rsidRDefault="008C4F12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2pt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13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21"/>
  </w:num>
  <w:num w:numId="20">
    <w:abstractNumId w:val="23"/>
  </w:num>
  <w:num w:numId="21">
    <w:abstractNumId w:val="22"/>
  </w:num>
  <w:num w:numId="22">
    <w:abstractNumId w:val="17"/>
  </w:num>
  <w:num w:numId="23">
    <w:abstractNumId w:val="18"/>
  </w:num>
  <w:num w:numId="24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316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40856</TotalTime>
  <Pages>7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8225</cp:revision>
  <dcterms:created xsi:type="dcterms:W3CDTF">2024-06-20T08:51:00Z</dcterms:created>
  <dcterms:modified xsi:type="dcterms:W3CDTF">2024-07-31T14:45:00Z</dcterms:modified>
  <cp:category/>
</cp:coreProperties>
</file>