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E4" w:rsidRDefault="005B76F6" w:rsidP="005B76F6">
      <w:pPr>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hint="eastAsia"/>
          <w:color w:val="000000"/>
          <w:kern w:val="0"/>
          <w:sz w:val="28"/>
          <w:szCs w:val="28"/>
          <w:lang w:eastAsia="ru-RU" w:bidi="ru-RU"/>
        </w:rPr>
        <w:t>Шурупов</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Олег</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Константинович</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Совершенствование</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технологии</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выделения</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бутадиена</w:t>
      </w:r>
      <w:r w:rsidRPr="005B76F6">
        <w:rPr>
          <w:rFonts w:ascii="Times New Roman" w:eastAsia="Times New Roman" w:hAnsi="Times New Roman" w:cs="Times New Roman"/>
          <w:color w:val="000000"/>
          <w:kern w:val="0"/>
          <w:sz w:val="28"/>
          <w:szCs w:val="28"/>
          <w:lang w:eastAsia="ru-RU" w:bidi="ru-RU"/>
        </w:rPr>
        <w:t xml:space="preserve">-1,3 </w:t>
      </w:r>
      <w:r w:rsidRPr="005B76F6">
        <w:rPr>
          <w:rFonts w:ascii="Times New Roman" w:eastAsia="Times New Roman" w:hAnsi="Times New Roman" w:cs="Times New Roman" w:hint="eastAsia"/>
          <w:color w:val="000000"/>
          <w:kern w:val="0"/>
          <w:sz w:val="28"/>
          <w:szCs w:val="28"/>
          <w:lang w:eastAsia="ru-RU" w:bidi="ru-RU"/>
        </w:rPr>
        <w:t>из</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бутадиенсодержащих</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фракций</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методом</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хемосорбции</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диссертация</w:t>
      </w:r>
      <w:r w:rsidRPr="005B76F6">
        <w:rPr>
          <w:rFonts w:ascii="Times New Roman" w:eastAsia="Times New Roman" w:hAnsi="Times New Roman" w:cs="Times New Roman"/>
          <w:color w:val="000000"/>
          <w:kern w:val="0"/>
          <w:sz w:val="28"/>
          <w:szCs w:val="28"/>
          <w:lang w:eastAsia="ru-RU" w:bidi="ru-RU"/>
        </w:rPr>
        <w:t xml:space="preserve"> ... </w:t>
      </w:r>
      <w:r w:rsidRPr="005B76F6">
        <w:rPr>
          <w:rFonts w:ascii="Times New Roman" w:eastAsia="Times New Roman" w:hAnsi="Times New Roman" w:cs="Times New Roman" w:hint="eastAsia"/>
          <w:color w:val="000000"/>
          <w:kern w:val="0"/>
          <w:sz w:val="28"/>
          <w:szCs w:val="28"/>
          <w:lang w:eastAsia="ru-RU" w:bidi="ru-RU"/>
        </w:rPr>
        <w:t>кандидата</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Технических</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наук</w:t>
      </w:r>
      <w:r w:rsidRPr="005B76F6">
        <w:rPr>
          <w:rFonts w:ascii="Times New Roman" w:eastAsia="Times New Roman" w:hAnsi="Times New Roman" w:cs="Times New Roman"/>
          <w:color w:val="000000"/>
          <w:kern w:val="0"/>
          <w:sz w:val="28"/>
          <w:szCs w:val="28"/>
          <w:lang w:eastAsia="ru-RU" w:bidi="ru-RU"/>
        </w:rPr>
        <w:t xml:space="preserve">: 02.00.13 / </w:t>
      </w:r>
      <w:r w:rsidRPr="005B76F6">
        <w:rPr>
          <w:rFonts w:ascii="Times New Roman" w:eastAsia="Times New Roman" w:hAnsi="Times New Roman" w:cs="Times New Roman" w:hint="eastAsia"/>
          <w:color w:val="000000"/>
          <w:kern w:val="0"/>
          <w:sz w:val="28"/>
          <w:szCs w:val="28"/>
          <w:lang w:eastAsia="ru-RU" w:bidi="ru-RU"/>
        </w:rPr>
        <w:t>Шурупов</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Олег</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Константинович</w:t>
      </w:r>
      <w:r w:rsidRPr="005B76F6">
        <w:rPr>
          <w:rFonts w:ascii="Times New Roman" w:eastAsia="Times New Roman" w:hAnsi="Times New Roman" w:cs="Times New Roman"/>
          <w:color w:val="000000"/>
          <w:kern w:val="0"/>
          <w:sz w:val="28"/>
          <w:szCs w:val="28"/>
          <w:lang w:eastAsia="ru-RU" w:bidi="ru-RU"/>
        </w:rPr>
        <w:t>;[</w:t>
      </w:r>
      <w:r w:rsidRPr="005B76F6">
        <w:rPr>
          <w:rFonts w:ascii="Times New Roman" w:eastAsia="Times New Roman" w:hAnsi="Times New Roman" w:cs="Times New Roman" w:hint="eastAsia"/>
          <w:color w:val="000000"/>
          <w:kern w:val="0"/>
          <w:sz w:val="28"/>
          <w:szCs w:val="28"/>
          <w:lang w:eastAsia="ru-RU" w:bidi="ru-RU"/>
        </w:rPr>
        <w:t>Место</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защиты</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ФГБОУ</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ВО</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«Уфимский</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государственный</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нефтяной</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технический</w:t>
      </w:r>
      <w:r w:rsidRPr="005B76F6">
        <w:rPr>
          <w:rFonts w:ascii="Times New Roman" w:eastAsia="Times New Roman" w:hAnsi="Times New Roman" w:cs="Times New Roman"/>
          <w:color w:val="000000"/>
          <w:kern w:val="0"/>
          <w:sz w:val="28"/>
          <w:szCs w:val="28"/>
          <w:lang w:eastAsia="ru-RU" w:bidi="ru-RU"/>
        </w:rPr>
        <w:t xml:space="preserve"> </w:t>
      </w:r>
      <w:r w:rsidRPr="005B76F6">
        <w:rPr>
          <w:rFonts w:ascii="Times New Roman" w:eastAsia="Times New Roman" w:hAnsi="Times New Roman" w:cs="Times New Roman" w:hint="eastAsia"/>
          <w:color w:val="000000"/>
          <w:kern w:val="0"/>
          <w:sz w:val="28"/>
          <w:szCs w:val="28"/>
          <w:lang w:eastAsia="ru-RU" w:bidi="ru-RU"/>
        </w:rPr>
        <w:t>университет»</w:t>
      </w:r>
      <w:r w:rsidRPr="005B76F6">
        <w:rPr>
          <w:rFonts w:ascii="Times New Roman" w:eastAsia="Times New Roman" w:hAnsi="Times New Roman" w:cs="Times New Roman"/>
          <w:color w:val="000000"/>
          <w:kern w:val="0"/>
          <w:sz w:val="28"/>
          <w:szCs w:val="28"/>
          <w:lang w:eastAsia="ru-RU" w:bidi="ru-RU"/>
        </w:rPr>
        <w:t>], 2020</w:t>
      </w:r>
    </w:p>
    <w:p w:rsidR="005B76F6" w:rsidRDefault="005B76F6" w:rsidP="005B76F6">
      <w:pPr>
        <w:rPr>
          <w:rFonts w:ascii="Times New Roman" w:eastAsia="Times New Roman" w:hAnsi="Times New Roman" w:cs="Times New Roman"/>
          <w:color w:val="000000"/>
          <w:kern w:val="0"/>
          <w:sz w:val="28"/>
          <w:szCs w:val="28"/>
          <w:lang w:eastAsia="ru-RU" w:bidi="ru-RU"/>
        </w:rPr>
      </w:pPr>
    </w:p>
    <w:p w:rsidR="005B76F6" w:rsidRDefault="005B76F6" w:rsidP="005B76F6">
      <w:pPr>
        <w:rPr>
          <w:rFonts w:ascii="Times New Roman" w:eastAsia="Times New Roman" w:hAnsi="Times New Roman" w:cs="Times New Roman"/>
          <w:color w:val="000000"/>
          <w:kern w:val="0"/>
          <w:sz w:val="28"/>
          <w:szCs w:val="28"/>
          <w:lang w:eastAsia="ru-RU" w:bidi="ru-RU"/>
        </w:rPr>
      </w:pPr>
    </w:p>
    <w:p w:rsidR="005B76F6" w:rsidRPr="005B76F6" w:rsidRDefault="005B76F6" w:rsidP="005B76F6">
      <w:pPr>
        <w:tabs>
          <w:tab w:val="clear" w:pos="709"/>
        </w:tabs>
        <w:suppressAutoHyphens w:val="0"/>
        <w:spacing w:after="122" w:line="240" w:lineRule="exact"/>
        <w:ind w:left="1960" w:firstLine="0"/>
        <w:jc w:val="left"/>
        <w:rPr>
          <w:rFonts w:ascii="Times New Roman" w:eastAsia="Times New Roman" w:hAnsi="Times New Roman" w:cs="Times New Roman"/>
          <w:color w:val="000000"/>
          <w:kern w:val="0"/>
          <w:sz w:val="24"/>
          <w:szCs w:val="24"/>
          <w:lang w:eastAsia="ru-RU" w:bidi="ru-RU"/>
        </w:rPr>
      </w:pPr>
      <w:r>
        <w:rPr>
          <w:rFonts w:ascii="Times New Roman" w:eastAsia="Times New Roman" w:hAnsi="Times New Roman" w:cs="Times New Roman"/>
          <w:noProof/>
          <w:color w:val="000000"/>
          <w:kern w:val="0"/>
          <w:sz w:val="24"/>
          <w:szCs w:val="24"/>
          <w:lang w:eastAsia="ru-RU"/>
        </w:rPr>
        <w:drawing>
          <wp:anchor distT="0" distB="0" distL="63500" distR="63500" simplePos="0" relativeHeight="251660288" behindDoc="1" locked="0" layoutInCell="1" allowOverlap="1">
            <wp:simplePos x="0" y="0"/>
            <wp:positionH relativeFrom="margin">
              <wp:posOffset>-670560</wp:posOffset>
            </wp:positionH>
            <wp:positionV relativeFrom="margin">
              <wp:posOffset>-542290</wp:posOffset>
            </wp:positionV>
            <wp:extent cx="5937250" cy="8680450"/>
            <wp:effectExtent l="19050" t="0" r="6350" b="0"/>
            <wp:wrapNone/>
            <wp:docPr id="694" name="Рисунок 694" descr="C:\Users\Pavel\AppData\Local\Temp\Rar$DIa0.79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Users\Pavel\AppData\Local\Temp\Rar$DIa0.794\media\image1.jpeg"/>
                    <pic:cNvPicPr>
                      <a:picLocks noChangeAspect="1" noChangeArrowheads="1"/>
                    </pic:cNvPicPr>
                  </pic:nvPicPr>
                  <pic:blipFill>
                    <a:blip r:embed="rId8" cstate="print"/>
                    <a:srcRect/>
                    <a:stretch>
                      <a:fillRect/>
                    </a:stretch>
                  </pic:blipFill>
                  <pic:spPr bwMode="auto">
                    <a:xfrm>
                      <a:off x="0" y="0"/>
                      <a:ext cx="5937250" cy="8680450"/>
                    </a:xfrm>
                    <a:prstGeom prst="rect">
                      <a:avLst/>
                    </a:prstGeom>
                    <a:noFill/>
                  </pic:spPr>
                </pic:pic>
              </a:graphicData>
            </a:graphic>
          </wp:anchor>
        </w:drawing>
      </w:r>
      <w:r w:rsidRPr="005B76F6">
        <w:rPr>
          <w:rFonts w:ascii="Times New Roman" w:eastAsia="Times New Roman" w:hAnsi="Times New Roman" w:cs="Times New Roman"/>
          <w:smallCaps/>
          <w:color w:val="000000"/>
          <w:kern w:val="0"/>
          <w:sz w:val="24"/>
          <w:lang w:eastAsia="ru-RU" w:bidi="ru-RU"/>
        </w:rPr>
        <w:t>российской федерации</w:t>
      </w:r>
    </w:p>
    <w:p w:rsidR="005B76F6" w:rsidRPr="005B76F6" w:rsidRDefault="005B76F6" w:rsidP="005B76F6">
      <w:pPr>
        <w:tabs>
          <w:tab w:val="clear" w:pos="709"/>
        </w:tabs>
        <w:suppressAutoHyphens w:val="0"/>
        <w:spacing w:after="118" w:line="240" w:lineRule="exact"/>
        <w:ind w:left="1340"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Федеральное государственное бюджетное</w:t>
      </w:r>
    </w:p>
    <w:p w:rsidR="005B76F6" w:rsidRPr="005B76F6" w:rsidRDefault="005B76F6" w:rsidP="005B76F6">
      <w:pPr>
        <w:tabs>
          <w:tab w:val="clear" w:pos="709"/>
        </w:tabs>
        <w:suppressAutoHyphens w:val="0"/>
        <w:spacing w:after="122" w:line="240" w:lineRule="exact"/>
        <w:ind w:left="860"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образовательное учреждение высшего образования</w:t>
      </w:r>
    </w:p>
    <w:p w:rsidR="005B76F6" w:rsidRPr="005B76F6" w:rsidRDefault="005B76F6" w:rsidP="005B76F6">
      <w:pPr>
        <w:tabs>
          <w:tab w:val="clear" w:pos="709"/>
        </w:tabs>
        <w:suppressAutoHyphens w:val="0"/>
        <w:spacing w:after="523" w:line="240" w:lineRule="exact"/>
        <w:ind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«Уфимский государственный нефтяной технический университет»</w:t>
      </w:r>
    </w:p>
    <w:p w:rsidR="005B76F6" w:rsidRPr="005B76F6" w:rsidRDefault="005B76F6" w:rsidP="005B76F6">
      <w:pPr>
        <w:tabs>
          <w:tab w:val="clear" w:pos="709"/>
        </w:tabs>
        <w:suppressAutoHyphens w:val="0"/>
        <w:spacing w:after="1373" w:line="240" w:lineRule="exact"/>
        <w:ind w:firstLine="0"/>
        <w:jc w:val="righ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На правах рукописи</w:t>
      </w:r>
    </w:p>
    <w:p w:rsidR="005B76F6" w:rsidRPr="005B76F6" w:rsidRDefault="005B76F6" w:rsidP="005B76F6">
      <w:pPr>
        <w:tabs>
          <w:tab w:val="clear" w:pos="709"/>
        </w:tabs>
        <w:suppressAutoHyphens w:val="0"/>
        <w:spacing w:after="547" w:line="240" w:lineRule="exact"/>
        <w:ind w:left="1340"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ШУРУПОВ ОЛЕГ КОНСТАНТИНОВИЧ</w:t>
      </w:r>
    </w:p>
    <w:p w:rsidR="005B76F6" w:rsidRPr="005B76F6" w:rsidRDefault="005B76F6" w:rsidP="005B76F6">
      <w:pPr>
        <w:tabs>
          <w:tab w:val="clear" w:pos="709"/>
        </w:tabs>
        <w:suppressAutoHyphens w:val="0"/>
        <w:spacing w:after="127" w:line="240" w:lineRule="exact"/>
        <w:ind w:left="240" w:firstLine="0"/>
        <w:jc w:val="left"/>
        <w:rPr>
          <w:rFonts w:ascii="Times New Roman" w:eastAsia="Times New Roman" w:hAnsi="Times New Roman" w:cs="Times New Roman"/>
          <w:b/>
          <w:bCs/>
          <w:color w:val="000000"/>
          <w:kern w:val="0"/>
          <w:sz w:val="24"/>
          <w:szCs w:val="24"/>
          <w:lang w:eastAsia="ru-RU" w:bidi="ru-RU"/>
        </w:rPr>
      </w:pPr>
      <w:r w:rsidRPr="005B76F6">
        <w:rPr>
          <w:rFonts w:ascii="Times New Roman" w:eastAsia="Times New Roman" w:hAnsi="Times New Roman" w:cs="Times New Roman"/>
          <w:b/>
          <w:bCs/>
          <w:color w:val="000000"/>
          <w:kern w:val="0"/>
          <w:sz w:val="24"/>
          <w:szCs w:val="24"/>
          <w:lang w:eastAsia="ru-RU" w:bidi="ru-RU"/>
        </w:rPr>
        <w:t>СОВЕРШЕНСТВОВАНИЕ ТЕХНОЛОГИИ ВЫДЕЛЕНИЯ</w:t>
      </w:r>
    </w:p>
    <w:p w:rsidR="005B76F6" w:rsidRPr="005B76F6" w:rsidRDefault="005B76F6" w:rsidP="005B76F6">
      <w:pPr>
        <w:tabs>
          <w:tab w:val="clear" w:pos="709"/>
        </w:tabs>
        <w:suppressAutoHyphens w:val="0"/>
        <w:spacing w:after="113" w:line="240" w:lineRule="exact"/>
        <w:ind w:firstLine="0"/>
        <w:jc w:val="left"/>
        <w:rPr>
          <w:rFonts w:ascii="Times New Roman" w:eastAsia="Times New Roman" w:hAnsi="Times New Roman" w:cs="Times New Roman"/>
          <w:b/>
          <w:bCs/>
          <w:color w:val="000000"/>
          <w:kern w:val="0"/>
          <w:sz w:val="24"/>
          <w:szCs w:val="24"/>
          <w:lang w:eastAsia="ru-RU" w:bidi="ru-RU"/>
        </w:rPr>
      </w:pPr>
      <w:r w:rsidRPr="005B76F6">
        <w:rPr>
          <w:rFonts w:ascii="Times New Roman" w:eastAsia="Times New Roman" w:hAnsi="Times New Roman" w:cs="Times New Roman"/>
          <w:b/>
          <w:bCs/>
          <w:color w:val="000000"/>
          <w:kern w:val="0"/>
          <w:sz w:val="24"/>
          <w:szCs w:val="24"/>
          <w:lang w:eastAsia="ru-RU" w:bidi="ru-RU"/>
        </w:rPr>
        <w:t>БУТАДИЕНА-1,3 ИЗ БУТАДИЕНСОДЕРЖАЩИХ ФРАКЦИИ</w:t>
      </w:r>
    </w:p>
    <w:p w:rsidR="005B76F6" w:rsidRPr="005B76F6" w:rsidRDefault="005B76F6" w:rsidP="005B76F6">
      <w:pPr>
        <w:tabs>
          <w:tab w:val="clear" w:pos="709"/>
        </w:tabs>
        <w:suppressAutoHyphens w:val="0"/>
        <w:spacing w:after="538" w:line="240" w:lineRule="exact"/>
        <w:ind w:left="1800" w:firstLine="0"/>
        <w:jc w:val="left"/>
        <w:rPr>
          <w:rFonts w:ascii="Times New Roman" w:eastAsia="Times New Roman" w:hAnsi="Times New Roman" w:cs="Times New Roman"/>
          <w:b/>
          <w:bCs/>
          <w:color w:val="000000"/>
          <w:kern w:val="0"/>
          <w:sz w:val="24"/>
          <w:szCs w:val="24"/>
          <w:lang w:eastAsia="ru-RU" w:bidi="ru-RU"/>
        </w:rPr>
      </w:pPr>
      <w:r w:rsidRPr="005B76F6">
        <w:rPr>
          <w:rFonts w:ascii="Times New Roman" w:eastAsia="Times New Roman" w:hAnsi="Times New Roman" w:cs="Times New Roman"/>
          <w:b/>
          <w:bCs/>
          <w:color w:val="000000"/>
          <w:kern w:val="0"/>
          <w:sz w:val="24"/>
          <w:szCs w:val="24"/>
          <w:lang w:eastAsia="ru-RU" w:bidi="ru-RU"/>
        </w:rPr>
        <w:t>МЕТОДОМ ХЕМОСОРБЦИИ</w:t>
      </w:r>
    </w:p>
    <w:p w:rsidR="005B76F6" w:rsidRPr="005B76F6" w:rsidRDefault="005B76F6" w:rsidP="005B76F6">
      <w:pPr>
        <w:tabs>
          <w:tab w:val="clear" w:pos="709"/>
        </w:tabs>
        <w:suppressAutoHyphens w:val="0"/>
        <w:spacing w:after="1193" w:line="240" w:lineRule="exact"/>
        <w:ind w:left="1520"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Специальность 02.00Л 3 - Нефтехимия</w:t>
      </w:r>
    </w:p>
    <w:p w:rsidR="005B76F6" w:rsidRPr="005B76F6" w:rsidRDefault="005B76F6" w:rsidP="005B76F6">
      <w:pPr>
        <w:tabs>
          <w:tab w:val="clear" w:pos="709"/>
        </w:tabs>
        <w:suppressAutoHyphens w:val="0"/>
        <w:spacing w:after="65" w:line="240" w:lineRule="exact"/>
        <w:ind w:left="2600"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ДИССЕРТАЦИЯ</w:t>
      </w:r>
    </w:p>
    <w:p w:rsidR="005B76F6" w:rsidRPr="005B76F6" w:rsidRDefault="005B76F6" w:rsidP="005B76F6">
      <w:pPr>
        <w:tabs>
          <w:tab w:val="clear" w:pos="709"/>
        </w:tabs>
        <w:suppressAutoHyphens w:val="0"/>
        <w:spacing w:after="1848" w:line="240" w:lineRule="exact"/>
        <w:ind w:left="1960"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на соискание ученой степени кандидата технических наук</w:t>
      </w:r>
    </w:p>
    <w:p w:rsidR="005B76F6" w:rsidRPr="005B76F6" w:rsidRDefault="005B76F6" w:rsidP="005B76F6">
      <w:pPr>
        <w:tabs>
          <w:tab w:val="clear" w:pos="709"/>
        </w:tabs>
        <w:suppressAutoHyphens w:val="0"/>
        <w:spacing w:after="113" w:line="240" w:lineRule="exact"/>
        <w:ind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pict>
          <v:shapetype id="_x0000_t202" coordsize="21600,21600" o:spt="202" path="m,l,21600r21600,l21600,xe">
            <v:stroke joinstyle="miter"/>
            <v:path gradientshapeok="t" o:connecttype="rect"/>
          </v:shapetype>
          <v:shape id="_x0000_s1719" type="#_x0000_t202" style="position:absolute;margin-left:-30.25pt;margin-top:-.95pt;width:124.3pt;height:12pt;z-index:-251655168;mso-wrap-distance-left:5pt;mso-wrap-distance-right:78.7pt;mso-position-horizontal-relative:margin" filled="f" stroked="f">
            <v:textbox style="mso-fit-shape-to-text:t" inset="0,0,0,0">
              <w:txbxContent>
                <w:p w:rsidR="005B76F6" w:rsidRDefault="005B76F6" w:rsidP="005B76F6">
                  <w:pPr>
                    <w:pStyle w:val="3fff2"/>
                    <w:shd w:val="clear" w:color="auto" w:fill="auto"/>
                    <w:spacing w:after="0"/>
                  </w:pPr>
                  <w:r>
                    <w:rPr>
                      <w:rStyle w:val="3Exact"/>
                    </w:rPr>
                    <w:t>Научный руководитель:</w:t>
                  </w:r>
                </w:p>
              </w:txbxContent>
            </v:textbox>
            <w10:wrap type="square" side="right" anchorx="margin"/>
          </v:shape>
        </w:pict>
      </w:r>
      <w:r w:rsidRPr="005B76F6">
        <w:rPr>
          <w:rFonts w:ascii="Times New Roman" w:eastAsia="Times New Roman" w:hAnsi="Times New Roman" w:cs="Times New Roman"/>
          <w:color w:val="000000"/>
          <w:kern w:val="0"/>
          <w:sz w:val="24"/>
          <w:szCs w:val="24"/>
          <w:lang w:eastAsia="ru-RU" w:bidi="ru-RU"/>
        </w:rPr>
        <w:t>доктор технических наук, профессор</w:t>
      </w:r>
    </w:p>
    <w:p w:rsidR="005B76F6" w:rsidRPr="005B76F6" w:rsidRDefault="005B76F6" w:rsidP="005B76F6">
      <w:pPr>
        <w:tabs>
          <w:tab w:val="clear" w:pos="709"/>
        </w:tabs>
        <w:suppressAutoHyphens w:val="0"/>
        <w:spacing w:after="413" w:line="240" w:lineRule="exact"/>
        <w:ind w:left="4320" w:firstLine="0"/>
        <w:jc w:val="left"/>
        <w:rPr>
          <w:rFonts w:ascii="Times New Roman" w:eastAsia="Times New Roman" w:hAnsi="Times New Roman" w:cs="Times New Roman"/>
          <w:color w:val="000000"/>
          <w:kern w:val="0"/>
          <w:sz w:val="24"/>
          <w:szCs w:val="24"/>
          <w:lang w:eastAsia="ru-RU" w:bidi="ru-RU"/>
        </w:rPr>
      </w:pPr>
      <w:r w:rsidRPr="005B76F6">
        <w:rPr>
          <w:rFonts w:ascii="Times New Roman" w:eastAsia="Times New Roman" w:hAnsi="Times New Roman" w:cs="Times New Roman"/>
          <w:color w:val="000000"/>
          <w:kern w:val="0"/>
          <w:sz w:val="24"/>
          <w:szCs w:val="24"/>
          <w:lang w:eastAsia="ru-RU" w:bidi="ru-RU"/>
        </w:rPr>
        <w:t>Умергалин Талгат Галеевич</w:t>
      </w:r>
    </w:p>
    <w:p w:rsidR="005B76F6" w:rsidRPr="005B76F6" w:rsidRDefault="005B76F6" w:rsidP="005B76F6">
      <w:pPr>
        <w:tabs>
          <w:tab w:val="clear" w:pos="709"/>
        </w:tabs>
        <w:suppressAutoHyphens w:val="0"/>
        <w:spacing w:after="0" w:line="240" w:lineRule="exact"/>
        <w:ind w:left="2880" w:firstLine="0"/>
        <w:jc w:val="left"/>
        <w:rPr>
          <w:rFonts w:ascii="Times New Roman" w:eastAsia="Times New Roman" w:hAnsi="Times New Roman" w:cs="Times New Roman"/>
          <w:color w:val="000000"/>
          <w:kern w:val="0"/>
          <w:sz w:val="24"/>
          <w:szCs w:val="24"/>
          <w:lang w:eastAsia="ru-RU" w:bidi="ru-RU"/>
        </w:rPr>
        <w:sectPr w:rsidR="005B76F6" w:rsidRPr="005B76F6" w:rsidSect="005B76F6">
          <w:headerReference w:type="even" r:id="rId9"/>
          <w:headerReference w:type="default" r:id="rId10"/>
          <w:headerReference w:type="first" r:id="rId11"/>
          <w:footnotePr>
            <w:numStart w:val="3"/>
          </w:footnotePr>
          <w:type w:val="continuous"/>
          <w:pgSz w:w="11900" w:h="16840"/>
          <w:pgMar w:top="1978" w:right="1528" w:bottom="1978" w:left="2779" w:header="0" w:footer="3" w:gutter="0"/>
          <w:cols w:space="720"/>
          <w:noEndnote/>
          <w:titlePg/>
          <w:docGrid w:linePitch="360"/>
        </w:sectPr>
      </w:pPr>
      <w:r w:rsidRPr="005B76F6">
        <w:rPr>
          <w:rFonts w:ascii="Times New Roman" w:eastAsia="Times New Roman" w:hAnsi="Times New Roman" w:cs="Times New Roman"/>
          <w:color w:val="000000"/>
          <w:kern w:val="0"/>
          <w:sz w:val="24"/>
          <w:szCs w:val="24"/>
          <w:lang w:eastAsia="ru-RU" w:bidi="ru-RU"/>
        </w:rPr>
        <w:t>Уфа-2019</w:t>
      </w:r>
    </w:p>
    <w:p w:rsidR="005B76F6" w:rsidRPr="005B76F6" w:rsidRDefault="005B76F6" w:rsidP="005B76F6">
      <w:pPr>
        <w:keepNext/>
        <w:keepLines/>
        <w:tabs>
          <w:tab w:val="clear" w:pos="709"/>
        </w:tabs>
        <w:suppressAutoHyphens w:val="0"/>
        <w:spacing w:after="0" w:line="566" w:lineRule="exact"/>
        <w:ind w:left="4180" w:firstLine="0"/>
        <w:jc w:val="left"/>
        <w:outlineLvl w:val="3"/>
        <w:rPr>
          <w:rFonts w:ascii="Times New Roman" w:eastAsia="Times New Roman" w:hAnsi="Times New Roman" w:cs="Times New Roman"/>
          <w:b/>
          <w:bCs/>
          <w:color w:val="000000"/>
          <w:kern w:val="0"/>
          <w:sz w:val="28"/>
          <w:szCs w:val="28"/>
          <w:lang w:eastAsia="ru-RU" w:bidi="ru-RU"/>
        </w:rPr>
      </w:pPr>
      <w:bookmarkStart w:id="0" w:name="bookmark0"/>
      <w:r w:rsidRPr="005B76F6">
        <w:rPr>
          <w:rFonts w:ascii="Times New Roman" w:eastAsia="Times New Roman" w:hAnsi="Times New Roman" w:cs="Times New Roman"/>
          <w:b/>
          <w:bCs/>
          <w:color w:val="000000"/>
          <w:kern w:val="0"/>
          <w:sz w:val="28"/>
          <w:szCs w:val="28"/>
          <w:lang w:eastAsia="ru-RU" w:bidi="ru-RU"/>
        </w:rPr>
        <w:t>ОГЛАВЛЕНИЕ</w:t>
      </w:r>
      <w:bookmarkEnd w:id="0"/>
    </w:p>
    <w:p w:rsidR="005B76F6" w:rsidRPr="005B76F6" w:rsidRDefault="005B76F6" w:rsidP="005B76F6">
      <w:pPr>
        <w:tabs>
          <w:tab w:val="clear" w:pos="709"/>
        </w:tabs>
        <w:suppressAutoHyphens w:val="0"/>
        <w:spacing w:after="0" w:line="566" w:lineRule="exact"/>
        <w:ind w:firstLine="0"/>
        <w:jc w:val="righ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С.</w:t>
      </w:r>
    </w:p>
    <w:p w:rsidR="005B76F6" w:rsidRPr="005B76F6" w:rsidRDefault="005B76F6" w:rsidP="005B76F6">
      <w:pPr>
        <w:tabs>
          <w:tab w:val="clear" w:pos="709"/>
          <w:tab w:val="right" w:pos="9819"/>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fldChar w:fldCharType="begin"/>
      </w:r>
      <w:r w:rsidRPr="005B76F6">
        <w:rPr>
          <w:rFonts w:ascii="Times New Roman" w:eastAsia="Times New Roman" w:hAnsi="Times New Roman" w:cs="Times New Roman"/>
          <w:color w:val="000000"/>
          <w:kern w:val="0"/>
          <w:sz w:val="28"/>
          <w:szCs w:val="28"/>
          <w:lang w:eastAsia="ru-RU" w:bidi="ru-RU"/>
        </w:rPr>
        <w:instrText xml:space="preserve"> TOC \o "1-5" \h \z </w:instrText>
      </w:r>
      <w:r w:rsidRPr="005B76F6">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5B76F6">
          <w:rPr>
            <w:rFonts w:ascii="Times New Roman" w:eastAsia="Times New Roman" w:hAnsi="Times New Roman" w:cs="Times New Roman"/>
            <w:color w:val="000000"/>
            <w:kern w:val="0"/>
            <w:sz w:val="28"/>
            <w:szCs w:val="28"/>
            <w:lang w:eastAsia="ru-RU" w:bidi="ru-RU"/>
          </w:rPr>
          <w:t>ВВЕДЕНИЕ</w:t>
        </w:r>
        <w:r w:rsidRPr="005B76F6">
          <w:rPr>
            <w:rFonts w:ascii="Times New Roman" w:eastAsia="Times New Roman" w:hAnsi="Times New Roman" w:cs="Times New Roman"/>
            <w:color w:val="000000"/>
            <w:kern w:val="0"/>
            <w:sz w:val="28"/>
            <w:szCs w:val="28"/>
            <w:lang w:eastAsia="ru-RU" w:bidi="ru-RU"/>
          </w:rPr>
          <w:tab/>
          <w:t>4</w:t>
        </w:r>
      </w:hyperlink>
    </w:p>
    <w:p w:rsidR="005B76F6" w:rsidRPr="005B76F6" w:rsidRDefault="005B76F6" w:rsidP="005B76F6">
      <w:pPr>
        <w:numPr>
          <w:ilvl w:val="0"/>
          <w:numId w:val="38"/>
        </w:numPr>
        <w:tabs>
          <w:tab w:val="clear" w:pos="709"/>
          <w:tab w:val="left" w:pos="277"/>
          <w:tab w:val="right" w:leader="dot" w:pos="9819"/>
        </w:tabs>
        <w:suppressAutoHyphens w:val="0"/>
        <w:spacing w:after="102" w:line="280" w:lineRule="exact"/>
        <w:ind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5B76F6">
          <w:rPr>
            <w:rFonts w:ascii="Times New Roman" w:eastAsia="Times New Roman" w:hAnsi="Times New Roman" w:cs="Times New Roman"/>
            <w:color w:val="000000"/>
            <w:kern w:val="0"/>
            <w:sz w:val="28"/>
            <w:szCs w:val="28"/>
            <w:lang w:eastAsia="ru-RU" w:bidi="ru-RU"/>
          </w:rPr>
          <w:t>АНАЛИЗ ТЕХНОЛОГИИ ВЫДЕЛЕНИЯ БУТАДИЕНА-1,3</w:t>
        </w:r>
        <w:r w:rsidRPr="005B76F6">
          <w:rPr>
            <w:rFonts w:ascii="Times New Roman" w:eastAsia="Times New Roman" w:hAnsi="Times New Roman" w:cs="Times New Roman"/>
            <w:color w:val="000000"/>
            <w:kern w:val="0"/>
            <w:sz w:val="28"/>
            <w:szCs w:val="28"/>
            <w:lang w:eastAsia="ru-RU" w:bidi="ru-RU"/>
          </w:rPr>
          <w:tab/>
          <w:t xml:space="preserve"> 11</w:t>
        </w:r>
      </w:hyperlink>
    </w:p>
    <w:p w:rsidR="005B76F6" w:rsidRPr="005B76F6" w:rsidRDefault="005B76F6" w:rsidP="005B76F6">
      <w:pPr>
        <w:numPr>
          <w:ilvl w:val="1"/>
          <w:numId w:val="38"/>
        </w:numPr>
        <w:tabs>
          <w:tab w:val="clear" w:pos="709"/>
          <w:tab w:val="left" w:pos="488"/>
          <w:tab w:val="right" w:leader="dot" w:pos="9819"/>
        </w:tabs>
        <w:suppressAutoHyphens w:val="0"/>
        <w:spacing w:after="157" w:line="280" w:lineRule="exact"/>
        <w:ind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5B76F6">
          <w:rPr>
            <w:rFonts w:ascii="Times New Roman" w:eastAsia="Times New Roman" w:hAnsi="Times New Roman" w:cs="Times New Roman"/>
            <w:color w:val="000000"/>
            <w:kern w:val="0"/>
            <w:sz w:val="28"/>
            <w:szCs w:val="28"/>
            <w:lang w:eastAsia="ru-RU" w:bidi="ru-RU"/>
          </w:rPr>
          <w:t>Получение и применение бутадиена</w:t>
        </w:r>
        <w:r w:rsidRPr="005B76F6">
          <w:rPr>
            <w:rFonts w:ascii="Times New Roman" w:eastAsia="Times New Roman" w:hAnsi="Times New Roman" w:cs="Times New Roman"/>
            <w:color w:val="000000"/>
            <w:kern w:val="0"/>
            <w:sz w:val="28"/>
            <w:szCs w:val="28"/>
            <w:lang w:eastAsia="ru-RU" w:bidi="ru-RU"/>
          </w:rPr>
          <w:tab/>
          <w:t xml:space="preserve"> 11</w:t>
        </w:r>
      </w:hyperlink>
    </w:p>
    <w:p w:rsidR="005B76F6" w:rsidRPr="005B76F6" w:rsidRDefault="005B76F6" w:rsidP="005B76F6">
      <w:pPr>
        <w:numPr>
          <w:ilvl w:val="1"/>
          <w:numId w:val="38"/>
        </w:numPr>
        <w:tabs>
          <w:tab w:val="clear" w:pos="709"/>
          <w:tab w:val="left" w:pos="507"/>
          <w:tab w:val="right" w:leader="dot" w:pos="9819"/>
        </w:tabs>
        <w:suppressAutoHyphens w:val="0"/>
        <w:spacing w:after="92" w:line="280" w:lineRule="exact"/>
        <w:ind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5B76F6">
          <w:rPr>
            <w:rFonts w:ascii="Times New Roman" w:eastAsia="Times New Roman" w:hAnsi="Times New Roman" w:cs="Times New Roman"/>
            <w:color w:val="000000"/>
            <w:kern w:val="0"/>
            <w:sz w:val="28"/>
            <w:szCs w:val="28"/>
            <w:lang w:eastAsia="ru-RU" w:bidi="ru-RU"/>
          </w:rPr>
          <w:t>Способы очистки и выделения бутадиена</w:t>
        </w:r>
        <w:r w:rsidRPr="005B76F6">
          <w:rPr>
            <w:rFonts w:ascii="Times New Roman" w:eastAsia="Times New Roman" w:hAnsi="Times New Roman" w:cs="Times New Roman"/>
            <w:color w:val="000000"/>
            <w:kern w:val="0"/>
            <w:sz w:val="28"/>
            <w:szCs w:val="28"/>
            <w:lang w:eastAsia="ru-RU" w:bidi="ru-RU"/>
          </w:rPr>
          <w:tab/>
          <w:t xml:space="preserve"> 14</w:t>
        </w:r>
      </w:hyperlink>
    </w:p>
    <w:p w:rsidR="005B76F6" w:rsidRPr="005B76F6" w:rsidRDefault="005B76F6" w:rsidP="005B76F6">
      <w:pPr>
        <w:numPr>
          <w:ilvl w:val="1"/>
          <w:numId w:val="38"/>
        </w:numPr>
        <w:tabs>
          <w:tab w:val="clear" w:pos="709"/>
          <w:tab w:val="left" w:pos="507"/>
          <w:tab w:val="right" w:leader="dot" w:pos="981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5B76F6">
          <w:rPr>
            <w:rFonts w:ascii="Times New Roman" w:eastAsia="Times New Roman" w:hAnsi="Times New Roman" w:cs="Times New Roman"/>
            <w:color w:val="000000"/>
            <w:kern w:val="0"/>
            <w:sz w:val="28"/>
            <w:szCs w:val="28"/>
            <w:lang w:eastAsia="ru-RU" w:bidi="ru-RU"/>
          </w:rPr>
          <w:t>Г идрирование ацетиленовых углеводородов</w:t>
        </w:r>
        <w:r w:rsidRPr="005B76F6">
          <w:rPr>
            <w:rFonts w:ascii="Times New Roman" w:eastAsia="Times New Roman" w:hAnsi="Times New Roman" w:cs="Times New Roman"/>
            <w:color w:val="000000"/>
            <w:kern w:val="0"/>
            <w:sz w:val="28"/>
            <w:szCs w:val="28"/>
            <w:lang w:eastAsia="ru-RU" w:bidi="ru-RU"/>
          </w:rPr>
          <w:tab/>
          <w:t xml:space="preserve"> 25</w:t>
        </w:r>
      </w:hyperlink>
    </w:p>
    <w:p w:rsidR="005B76F6" w:rsidRPr="005B76F6" w:rsidRDefault="005B76F6" w:rsidP="005B76F6">
      <w:pPr>
        <w:numPr>
          <w:ilvl w:val="1"/>
          <w:numId w:val="38"/>
        </w:numPr>
        <w:tabs>
          <w:tab w:val="clear" w:pos="709"/>
          <w:tab w:val="left" w:pos="7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Способы регенерации водно-аммиачного раствора ацетата</w:t>
      </w:r>
    </w:p>
    <w:p w:rsidR="005B76F6" w:rsidRPr="005B76F6" w:rsidRDefault="005B76F6" w:rsidP="005B76F6">
      <w:pPr>
        <w:tabs>
          <w:tab w:val="clear" w:pos="709"/>
          <w:tab w:val="right" w:leader="dot" w:pos="98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одновалентной меди</w:t>
      </w:r>
      <w:r w:rsidRPr="005B76F6">
        <w:rPr>
          <w:rFonts w:ascii="Times New Roman" w:eastAsia="Times New Roman" w:hAnsi="Times New Roman" w:cs="Times New Roman"/>
          <w:color w:val="000000"/>
          <w:kern w:val="0"/>
          <w:sz w:val="28"/>
          <w:szCs w:val="28"/>
          <w:lang w:eastAsia="ru-RU" w:bidi="ru-RU"/>
        </w:rPr>
        <w:tab/>
        <w:t xml:space="preserve"> 30</w:t>
      </w:r>
    </w:p>
    <w:p w:rsidR="005B76F6" w:rsidRPr="005B76F6" w:rsidRDefault="005B76F6" w:rsidP="005B76F6">
      <w:pPr>
        <w:numPr>
          <w:ilvl w:val="0"/>
          <w:numId w:val="38"/>
        </w:numPr>
        <w:tabs>
          <w:tab w:val="clear" w:pos="709"/>
          <w:tab w:val="left" w:pos="325"/>
          <w:tab w:val="right" w:leader="dot" w:pos="981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5B76F6">
          <w:rPr>
            <w:rFonts w:ascii="Times New Roman" w:eastAsia="Times New Roman" w:hAnsi="Times New Roman" w:cs="Times New Roman"/>
            <w:color w:val="000000"/>
            <w:kern w:val="0"/>
            <w:sz w:val="28"/>
            <w:szCs w:val="28"/>
            <w:lang w:eastAsia="ru-RU" w:bidi="ru-RU"/>
          </w:rPr>
          <w:t>МЕТОДЫ ИССЛЕДОВАНИЙ</w:t>
        </w:r>
        <w:r w:rsidRPr="005B76F6">
          <w:rPr>
            <w:rFonts w:ascii="Times New Roman" w:eastAsia="Times New Roman" w:hAnsi="Times New Roman" w:cs="Times New Roman"/>
            <w:color w:val="000000"/>
            <w:kern w:val="0"/>
            <w:sz w:val="28"/>
            <w:szCs w:val="28"/>
            <w:lang w:eastAsia="ru-RU" w:bidi="ru-RU"/>
          </w:rPr>
          <w:tab/>
          <w:t xml:space="preserve"> 33</w:t>
        </w:r>
      </w:hyperlink>
    </w:p>
    <w:p w:rsidR="005B76F6" w:rsidRPr="005B76F6" w:rsidRDefault="005B76F6" w:rsidP="005B76F6">
      <w:pPr>
        <w:numPr>
          <w:ilvl w:val="1"/>
          <w:numId w:val="38"/>
        </w:numPr>
        <w:tabs>
          <w:tab w:val="clear" w:pos="709"/>
          <w:tab w:val="left" w:pos="51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Методика определения массовой доли углеводородов С</w:t>
      </w:r>
      <w:r w:rsidRPr="005B76F6">
        <w:rPr>
          <w:rFonts w:ascii="Times New Roman" w:eastAsia="Times New Roman" w:hAnsi="Times New Roman" w:cs="Times New Roman"/>
          <w:color w:val="000000"/>
          <w:kern w:val="0"/>
          <w:sz w:val="28"/>
          <w:szCs w:val="28"/>
          <w:vertAlign w:val="subscript"/>
          <w:lang w:eastAsia="ru-RU" w:bidi="ru-RU"/>
        </w:rPr>
        <w:t>1</w:t>
      </w:r>
      <w:r w:rsidRPr="005B76F6">
        <w:rPr>
          <w:rFonts w:ascii="Times New Roman" w:eastAsia="Times New Roman" w:hAnsi="Times New Roman" w:cs="Times New Roman"/>
          <w:color w:val="000000"/>
          <w:kern w:val="0"/>
          <w:sz w:val="28"/>
          <w:szCs w:val="28"/>
          <w:lang w:eastAsia="ru-RU" w:bidi="ru-RU"/>
        </w:rPr>
        <w:t xml:space="preserve"> - С</w:t>
      </w:r>
      <w:r w:rsidRPr="005B76F6">
        <w:rPr>
          <w:rFonts w:ascii="Times New Roman" w:eastAsia="Times New Roman" w:hAnsi="Times New Roman" w:cs="Times New Roman"/>
          <w:color w:val="000000"/>
          <w:kern w:val="0"/>
          <w:sz w:val="28"/>
          <w:szCs w:val="28"/>
          <w:vertAlign w:val="subscript"/>
          <w:lang w:eastAsia="ru-RU" w:bidi="ru-RU"/>
        </w:rPr>
        <w:t>5</w:t>
      </w:r>
      <w:r w:rsidRPr="005B76F6">
        <w:rPr>
          <w:rFonts w:ascii="Times New Roman" w:eastAsia="Times New Roman" w:hAnsi="Times New Roman" w:cs="Times New Roman"/>
          <w:color w:val="000000"/>
          <w:kern w:val="0"/>
          <w:sz w:val="28"/>
          <w:szCs w:val="28"/>
          <w:lang w:eastAsia="ru-RU" w:bidi="ru-RU"/>
        </w:rPr>
        <w:t xml:space="preserve"> во</w:t>
      </w:r>
    </w:p>
    <w:p w:rsidR="005B76F6" w:rsidRPr="005B76F6" w:rsidRDefault="005B76F6" w:rsidP="005B76F6">
      <w:pPr>
        <w:tabs>
          <w:tab w:val="clear" w:pos="709"/>
          <w:tab w:val="right" w:leader="dot" w:pos="98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5B76F6">
          <w:rPr>
            <w:rFonts w:ascii="Times New Roman" w:eastAsia="Times New Roman" w:hAnsi="Times New Roman" w:cs="Times New Roman"/>
            <w:color w:val="000000"/>
            <w:kern w:val="0"/>
            <w:sz w:val="28"/>
            <w:szCs w:val="28"/>
            <w:lang w:eastAsia="ru-RU" w:bidi="ru-RU"/>
          </w:rPr>
          <w:t>фракции С</w:t>
        </w:r>
        <w:r w:rsidRPr="005B76F6">
          <w:rPr>
            <w:rFonts w:ascii="Times New Roman" w:eastAsia="Times New Roman" w:hAnsi="Times New Roman" w:cs="Times New Roman"/>
            <w:color w:val="000000"/>
            <w:kern w:val="0"/>
            <w:sz w:val="28"/>
            <w:szCs w:val="28"/>
            <w:vertAlign w:val="subscript"/>
            <w:lang w:eastAsia="ru-RU" w:bidi="ru-RU"/>
          </w:rPr>
          <w:t>4</w:t>
        </w:r>
        <w:r w:rsidRPr="005B76F6">
          <w:rPr>
            <w:rFonts w:ascii="Times New Roman" w:eastAsia="Times New Roman" w:hAnsi="Times New Roman" w:cs="Times New Roman"/>
            <w:color w:val="000000"/>
            <w:kern w:val="0"/>
            <w:sz w:val="28"/>
            <w:szCs w:val="28"/>
            <w:lang w:eastAsia="ru-RU" w:bidi="ru-RU"/>
          </w:rPr>
          <w:tab/>
          <w:t xml:space="preserve"> 33</w:t>
        </w:r>
      </w:hyperlink>
    </w:p>
    <w:p w:rsidR="005B76F6" w:rsidRPr="005B76F6" w:rsidRDefault="005B76F6" w:rsidP="005B76F6">
      <w:pPr>
        <w:numPr>
          <w:ilvl w:val="1"/>
          <w:numId w:val="38"/>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Методика определения насыщаемости медно-аммиачного раствора</w:t>
      </w:r>
    </w:p>
    <w:p w:rsidR="005B76F6" w:rsidRPr="005B76F6" w:rsidRDefault="005B76F6" w:rsidP="005B76F6">
      <w:pPr>
        <w:tabs>
          <w:tab w:val="clear" w:pos="709"/>
          <w:tab w:val="right" w:leader="dot" w:pos="98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1" w:tooltip="Current Document">
        <w:r w:rsidRPr="005B76F6">
          <w:rPr>
            <w:rFonts w:ascii="Times New Roman" w:eastAsia="Times New Roman" w:hAnsi="Times New Roman" w:cs="Times New Roman"/>
            <w:color w:val="000000"/>
            <w:kern w:val="0"/>
            <w:sz w:val="28"/>
            <w:szCs w:val="28"/>
            <w:lang w:eastAsia="ru-RU" w:bidi="ru-RU"/>
          </w:rPr>
          <w:t>углеводородами С</w:t>
        </w:r>
        <w:r w:rsidRPr="005B76F6">
          <w:rPr>
            <w:rFonts w:ascii="Times New Roman" w:eastAsia="Times New Roman" w:hAnsi="Times New Roman" w:cs="Times New Roman"/>
            <w:color w:val="000000"/>
            <w:kern w:val="0"/>
            <w:sz w:val="28"/>
            <w:szCs w:val="28"/>
            <w:vertAlign w:val="subscript"/>
            <w:lang w:eastAsia="ru-RU" w:bidi="ru-RU"/>
          </w:rPr>
          <w:t>4</w:t>
        </w:r>
        <w:r w:rsidRPr="005B76F6">
          <w:rPr>
            <w:rFonts w:ascii="Times New Roman" w:eastAsia="Times New Roman" w:hAnsi="Times New Roman" w:cs="Times New Roman"/>
            <w:color w:val="000000"/>
            <w:kern w:val="0"/>
            <w:sz w:val="28"/>
            <w:szCs w:val="28"/>
            <w:lang w:eastAsia="ru-RU" w:bidi="ru-RU"/>
          </w:rPr>
          <w:tab/>
          <w:t xml:space="preserve"> 36</w:t>
        </w:r>
      </w:hyperlink>
    </w:p>
    <w:p w:rsidR="005B76F6" w:rsidRPr="005B76F6" w:rsidRDefault="005B76F6" w:rsidP="005B76F6">
      <w:pPr>
        <w:numPr>
          <w:ilvl w:val="1"/>
          <w:numId w:val="38"/>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Методика определения содержания меди (I) и суммы меди (I) и (II) в</w:t>
      </w:r>
    </w:p>
    <w:p w:rsidR="005B76F6" w:rsidRPr="005B76F6" w:rsidRDefault="005B76F6" w:rsidP="005B76F6">
      <w:pPr>
        <w:tabs>
          <w:tab w:val="clear" w:pos="709"/>
          <w:tab w:val="right" w:leader="dot" w:pos="98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4" w:tooltip="Current Document">
        <w:r w:rsidRPr="005B76F6">
          <w:rPr>
            <w:rFonts w:ascii="Times New Roman" w:eastAsia="Times New Roman" w:hAnsi="Times New Roman" w:cs="Times New Roman"/>
            <w:color w:val="000000"/>
            <w:kern w:val="0"/>
            <w:sz w:val="28"/>
            <w:szCs w:val="28"/>
            <w:lang w:eastAsia="ru-RU" w:bidi="ru-RU"/>
          </w:rPr>
          <w:t>медно-аммиачном растворе</w:t>
        </w:r>
        <w:r w:rsidRPr="005B76F6">
          <w:rPr>
            <w:rFonts w:ascii="Times New Roman" w:eastAsia="Times New Roman" w:hAnsi="Times New Roman" w:cs="Times New Roman"/>
            <w:color w:val="000000"/>
            <w:kern w:val="0"/>
            <w:sz w:val="28"/>
            <w:szCs w:val="28"/>
            <w:lang w:eastAsia="ru-RU" w:bidi="ru-RU"/>
          </w:rPr>
          <w:tab/>
          <w:t xml:space="preserve"> 37</w:t>
        </w:r>
      </w:hyperlink>
    </w:p>
    <w:p w:rsidR="005B76F6" w:rsidRPr="005B76F6" w:rsidRDefault="005B76F6" w:rsidP="005B76F6">
      <w:pPr>
        <w:numPr>
          <w:ilvl w:val="1"/>
          <w:numId w:val="38"/>
        </w:numPr>
        <w:tabs>
          <w:tab w:val="clear" w:pos="709"/>
          <w:tab w:val="left" w:pos="536"/>
          <w:tab w:val="right" w:leader="dot" w:pos="981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5B76F6">
          <w:rPr>
            <w:rFonts w:ascii="Times New Roman" w:eastAsia="Times New Roman" w:hAnsi="Times New Roman" w:cs="Times New Roman"/>
            <w:color w:val="000000"/>
            <w:kern w:val="0"/>
            <w:sz w:val="28"/>
            <w:szCs w:val="28"/>
            <w:lang w:eastAsia="ru-RU" w:bidi="ru-RU"/>
          </w:rPr>
          <w:t>Методика определение времени расслаивания углеводородов и медно</w:t>
        </w:r>
        <w:r w:rsidRPr="005B76F6">
          <w:rPr>
            <w:rFonts w:ascii="Times New Roman" w:eastAsia="Times New Roman" w:hAnsi="Times New Roman" w:cs="Times New Roman"/>
            <w:color w:val="000000"/>
            <w:kern w:val="0"/>
            <w:sz w:val="28"/>
            <w:szCs w:val="28"/>
            <w:lang w:eastAsia="ru-RU" w:bidi="ru-RU"/>
          </w:rPr>
          <w:softHyphen/>
          <w:t>аммиачного раствора</w:t>
        </w:r>
        <w:r w:rsidRPr="005B76F6">
          <w:rPr>
            <w:rFonts w:ascii="Times New Roman" w:eastAsia="Times New Roman" w:hAnsi="Times New Roman" w:cs="Times New Roman"/>
            <w:color w:val="000000"/>
            <w:kern w:val="0"/>
            <w:sz w:val="28"/>
            <w:szCs w:val="28"/>
            <w:lang w:eastAsia="ru-RU" w:bidi="ru-RU"/>
          </w:rPr>
          <w:tab/>
          <w:t xml:space="preserve"> 40</w:t>
        </w:r>
      </w:hyperlink>
    </w:p>
    <w:p w:rsidR="005B76F6" w:rsidRPr="005B76F6" w:rsidRDefault="005B76F6" w:rsidP="005B76F6">
      <w:pPr>
        <w:numPr>
          <w:ilvl w:val="1"/>
          <w:numId w:val="38"/>
        </w:numPr>
        <w:tabs>
          <w:tab w:val="clear" w:pos="709"/>
          <w:tab w:val="left" w:pos="536"/>
          <w:tab w:val="right" w:pos="981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9" w:tooltip="Current Document">
        <w:r w:rsidRPr="005B76F6">
          <w:rPr>
            <w:rFonts w:ascii="Times New Roman" w:eastAsia="Times New Roman" w:hAnsi="Times New Roman" w:cs="Times New Roman"/>
            <w:color w:val="000000"/>
            <w:kern w:val="0"/>
            <w:sz w:val="28"/>
            <w:szCs w:val="28"/>
            <w:lang w:eastAsia="ru-RU" w:bidi="ru-RU"/>
          </w:rPr>
          <w:t>Измерение пропускной способности газо-распределительных насадок...</w:t>
        </w:r>
        <w:r w:rsidRPr="005B76F6">
          <w:rPr>
            <w:rFonts w:ascii="Times New Roman" w:eastAsia="Times New Roman" w:hAnsi="Times New Roman" w:cs="Times New Roman"/>
            <w:color w:val="000000"/>
            <w:kern w:val="0"/>
            <w:sz w:val="28"/>
            <w:szCs w:val="28"/>
            <w:lang w:eastAsia="ru-RU" w:bidi="ru-RU"/>
          </w:rPr>
          <w:tab/>
          <w:t>41</w:t>
        </w:r>
      </w:hyperlink>
    </w:p>
    <w:p w:rsidR="005B76F6" w:rsidRPr="005B76F6" w:rsidRDefault="005B76F6" w:rsidP="005B76F6">
      <w:pPr>
        <w:numPr>
          <w:ilvl w:val="0"/>
          <w:numId w:val="38"/>
        </w:numPr>
        <w:tabs>
          <w:tab w:val="clear" w:pos="709"/>
          <w:tab w:val="left" w:pos="7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ПОВЫШЕНИЕ ЭФФЕКТИВНОСТИ ГИДРИРОВАНИЯ</w:t>
      </w:r>
    </w:p>
    <w:p w:rsidR="005B76F6" w:rsidRPr="005B76F6" w:rsidRDefault="005B76F6" w:rsidP="005B76F6">
      <w:pPr>
        <w:tabs>
          <w:tab w:val="clear" w:pos="709"/>
          <w:tab w:val="right" w:leader="dot" w:pos="981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АЦЕТИЛЕНОВЫХ УГЛЕВОДОРОДОВ, ПОДГОТОВКИ И ОЧИСТКИ МЕДНО-АММИАЧНОГО РАСТВОРА</w:t>
      </w:r>
      <w:r w:rsidRPr="005B76F6">
        <w:rPr>
          <w:rFonts w:ascii="Times New Roman" w:eastAsia="Times New Roman" w:hAnsi="Times New Roman" w:cs="Times New Roman"/>
          <w:color w:val="000000"/>
          <w:kern w:val="0"/>
          <w:sz w:val="28"/>
          <w:szCs w:val="28"/>
          <w:lang w:eastAsia="ru-RU" w:bidi="ru-RU"/>
        </w:rPr>
        <w:tab/>
        <w:t xml:space="preserve"> 42</w:t>
      </w:r>
    </w:p>
    <w:p w:rsidR="005B76F6" w:rsidRPr="005B76F6" w:rsidRDefault="005B76F6" w:rsidP="005B76F6">
      <w:pPr>
        <w:numPr>
          <w:ilvl w:val="1"/>
          <w:numId w:val="38"/>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Схема технологических узлов производства бутадиена, выделяемого</w:t>
      </w:r>
    </w:p>
    <w:p w:rsidR="005B76F6" w:rsidRPr="005B76F6" w:rsidRDefault="005B76F6" w:rsidP="005B76F6">
      <w:pPr>
        <w:tabs>
          <w:tab w:val="clear" w:pos="709"/>
          <w:tab w:val="right" w:leader="dot" w:pos="98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1" w:tooltip="Current Document">
        <w:r w:rsidRPr="005B76F6">
          <w:rPr>
            <w:rFonts w:ascii="Times New Roman" w:eastAsia="Times New Roman" w:hAnsi="Times New Roman" w:cs="Times New Roman"/>
            <w:color w:val="000000"/>
            <w:kern w:val="0"/>
            <w:sz w:val="28"/>
            <w:szCs w:val="28"/>
            <w:lang w:eastAsia="ru-RU" w:bidi="ru-RU"/>
          </w:rPr>
          <w:t>хемосорбцией</w:t>
        </w:r>
        <w:r w:rsidRPr="005B76F6">
          <w:rPr>
            <w:rFonts w:ascii="Times New Roman" w:eastAsia="Times New Roman" w:hAnsi="Times New Roman" w:cs="Times New Roman"/>
            <w:color w:val="000000"/>
            <w:kern w:val="0"/>
            <w:sz w:val="28"/>
            <w:szCs w:val="28"/>
            <w:lang w:eastAsia="ru-RU" w:bidi="ru-RU"/>
          </w:rPr>
          <w:tab/>
          <w:t xml:space="preserve"> 42</w:t>
        </w:r>
      </w:hyperlink>
    </w:p>
    <w:p w:rsidR="005B76F6" w:rsidRPr="005B76F6" w:rsidRDefault="005B76F6" w:rsidP="005B76F6">
      <w:pPr>
        <w:numPr>
          <w:ilvl w:val="1"/>
          <w:numId w:val="38"/>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Селективное гидрирование ацетиленовых углеводородов в бутилен-</w:t>
      </w:r>
    </w:p>
    <w:p w:rsidR="005B76F6" w:rsidRPr="005B76F6" w:rsidRDefault="005B76F6" w:rsidP="005B76F6">
      <w:pPr>
        <w:tabs>
          <w:tab w:val="clear" w:pos="709"/>
          <w:tab w:val="right" w:leader="dot" w:pos="98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5B76F6" w:rsidRPr="005B76F6">
          <w:pgSz w:w="11900" w:h="16840"/>
          <w:pgMar w:top="1383" w:right="655" w:bottom="1383" w:left="1348" w:header="0" w:footer="3" w:gutter="0"/>
          <w:cols w:space="720"/>
          <w:noEndnote/>
          <w:docGrid w:linePitch="360"/>
        </w:sectPr>
      </w:pPr>
      <w:r w:rsidRPr="005B76F6">
        <w:rPr>
          <w:rFonts w:ascii="Times New Roman" w:eastAsia="Times New Roman" w:hAnsi="Times New Roman" w:cs="Times New Roman"/>
          <w:color w:val="000000"/>
          <w:kern w:val="0"/>
          <w:sz w:val="28"/>
          <w:szCs w:val="28"/>
          <w:lang w:eastAsia="ru-RU" w:bidi="ru-RU"/>
        </w:rPr>
        <w:t xml:space="preserve">бутадиеновой фракции </w:t>
      </w:r>
      <w:r w:rsidRPr="005B76F6">
        <w:rPr>
          <w:rFonts w:ascii="Times New Roman" w:eastAsia="Times New Roman" w:hAnsi="Times New Roman" w:cs="Times New Roman"/>
          <w:color w:val="000000"/>
          <w:kern w:val="0"/>
          <w:sz w:val="28"/>
          <w:szCs w:val="28"/>
          <w:lang w:eastAsia="ru-RU" w:bidi="ru-RU"/>
        </w:rPr>
        <w:tab/>
        <w:t xml:space="preserve"> 44</w:t>
      </w:r>
    </w:p>
    <w:p w:rsidR="005B76F6" w:rsidRPr="005B76F6" w:rsidRDefault="005B76F6" w:rsidP="005B76F6">
      <w:pPr>
        <w:numPr>
          <w:ilvl w:val="1"/>
          <w:numId w:val="38"/>
        </w:numPr>
        <w:tabs>
          <w:tab w:val="clear" w:pos="709"/>
          <w:tab w:val="left" w:pos="669"/>
          <w:tab w:val="right" w:leader="dot" w:pos="983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3" w:tooltip="Current Document">
        <w:r w:rsidRPr="005B76F6">
          <w:rPr>
            <w:rFonts w:ascii="Times New Roman" w:eastAsia="Times New Roman" w:hAnsi="Times New Roman" w:cs="Times New Roman"/>
            <w:color w:val="000000"/>
            <w:kern w:val="0"/>
            <w:sz w:val="28"/>
            <w:szCs w:val="28"/>
            <w:lang w:eastAsia="ru-RU" w:bidi="ru-RU"/>
          </w:rPr>
          <w:t>Влияние окислительно-восстановительного потенциала медно</w:t>
        </w:r>
        <w:r w:rsidRPr="005B76F6">
          <w:rPr>
            <w:rFonts w:ascii="Times New Roman" w:eastAsia="Times New Roman" w:hAnsi="Times New Roman" w:cs="Times New Roman"/>
            <w:color w:val="000000"/>
            <w:kern w:val="0"/>
            <w:sz w:val="28"/>
            <w:szCs w:val="28"/>
            <w:lang w:eastAsia="ru-RU" w:bidi="ru-RU"/>
          </w:rPr>
          <w:softHyphen/>
          <w:t>аммиачного раствора на его стабильность</w:t>
        </w:r>
        <w:r w:rsidRPr="005B76F6">
          <w:rPr>
            <w:rFonts w:ascii="Times New Roman" w:eastAsia="Times New Roman" w:hAnsi="Times New Roman" w:cs="Times New Roman"/>
            <w:color w:val="000000"/>
            <w:kern w:val="0"/>
            <w:sz w:val="28"/>
            <w:szCs w:val="28"/>
            <w:lang w:eastAsia="ru-RU" w:bidi="ru-RU"/>
          </w:rPr>
          <w:tab/>
          <w:t xml:space="preserve"> 54</w:t>
        </w:r>
      </w:hyperlink>
    </w:p>
    <w:p w:rsidR="005B76F6" w:rsidRPr="005B76F6" w:rsidRDefault="005B76F6" w:rsidP="005B76F6">
      <w:pPr>
        <w:numPr>
          <w:ilvl w:val="1"/>
          <w:numId w:val="38"/>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Регенерация водно-аммиачного раствора ацетата одновалентной меди.. 68</w:t>
      </w:r>
    </w:p>
    <w:p w:rsidR="005B76F6" w:rsidRPr="005B76F6" w:rsidRDefault="005B76F6" w:rsidP="005B76F6">
      <w:pPr>
        <w:numPr>
          <w:ilvl w:val="0"/>
          <w:numId w:val="38"/>
        </w:numPr>
        <w:tabs>
          <w:tab w:val="clear" w:pos="709"/>
          <w:tab w:val="left" w:pos="66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ПОВЫШЕНИЕ ЭФФЕКТИВНОСТИ РАБОТЫ КОЛОННЫ</w:t>
      </w:r>
    </w:p>
    <w:p w:rsidR="005B76F6" w:rsidRPr="005B76F6" w:rsidRDefault="005B76F6" w:rsidP="005B76F6">
      <w:pPr>
        <w:tabs>
          <w:tab w:val="clear" w:pos="709"/>
          <w:tab w:val="right" w:leader="dot" w:pos="98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9" w:tooltip="Current Document">
        <w:r w:rsidRPr="005B76F6">
          <w:rPr>
            <w:rFonts w:ascii="Times New Roman" w:eastAsia="Times New Roman" w:hAnsi="Times New Roman" w:cs="Times New Roman"/>
            <w:color w:val="000000"/>
            <w:kern w:val="0"/>
            <w:sz w:val="28"/>
            <w:szCs w:val="28"/>
            <w:lang w:eastAsia="ru-RU" w:bidi="ru-RU"/>
          </w:rPr>
          <w:t>ХЕМОСОРБЦИИ</w:t>
        </w:r>
        <w:r w:rsidRPr="005B76F6">
          <w:rPr>
            <w:rFonts w:ascii="Times New Roman" w:eastAsia="Times New Roman" w:hAnsi="Times New Roman" w:cs="Times New Roman"/>
            <w:color w:val="000000"/>
            <w:kern w:val="0"/>
            <w:sz w:val="28"/>
            <w:szCs w:val="28"/>
            <w:lang w:eastAsia="ru-RU" w:bidi="ru-RU"/>
          </w:rPr>
          <w:tab/>
          <w:t xml:space="preserve"> 77</w:t>
        </w:r>
      </w:hyperlink>
    </w:p>
    <w:p w:rsidR="005B76F6" w:rsidRPr="005B76F6" w:rsidRDefault="005B76F6" w:rsidP="005B76F6">
      <w:pPr>
        <w:numPr>
          <w:ilvl w:val="1"/>
          <w:numId w:val="38"/>
        </w:numPr>
        <w:tabs>
          <w:tab w:val="clear" w:pos="709"/>
          <w:tab w:val="left" w:pos="51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Орошение колонны хемосорбции смесью бутан-бутиленовой фракции</w:t>
      </w:r>
    </w:p>
    <w:p w:rsidR="005B76F6" w:rsidRPr="005B76F6" w:rsidRDefault="005B76F6" w:rsidP="005B76F6">
      <w:pPr>
        <w:tabs>
          <w:tab w:val="clear" w:pos="709"/>
          <w:tab w:val="right" w:leader="dot" w:pos="98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и медно-аммиачного раствора</w:t>
      </w:r>
      <w:r w:rsidRPr="005B76F6">
        <w:rPr>
          <w:rFonts w:ascii="Times New Roman" w:eastAsia="Times New Roman" w:hAnsi="Times New Roman" w:cs="Times New Roman"/>
          <w:color w:val="000000"/>
          <w:kern w:val="0"/>
          <w:sz w:val="28"/>
          <w:szCs w:val="28"/>
          <w:lang w:eastAsia="ru-RU" w:bidi="ru-RU"/>
        </w:rPr>
        <w:tab/>
        <w:t xml:space="preserve"> 78</w:t>
      </w:r>
    </w:p>
    <w:p w:rsidR="005B76F6" w:rsidRPr="005B76F6" w:rsidRDefault="005B76F6" w:rsidP="005B76F6">
      <w:pPr>
        <w:numPr>
          <w:ilvl w:val="1"/>
          <w:numId w:val="38"/>
        </w:numPr>
        <w:tabs>
          <w:tab w:val="clear" w:pos="709"/>
          <w:tab w:val="left" w:pos="536"/>
          <w:tab w:val="right" w:leader="dot" w:pos="983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2" w:tooltip="Current Document">
        <w:r w:rsidRPr="005B76F6">
          <w:rPr>
            <w:rFonts w:ascii="Times New Roman" w:eastAsia="Times New Roman" w:hAnsi="Times New Roman" w:cs="Times New Roman"/>
            <w:color w:val="000000"/>
            <w:kern w:val="0"/>
            <w:sz w:val="28"/>
            <w:szCs w:val="28"/>
            <w:lang w:eastAsia="ru-RU" w:bidi="ru-RU"/>
          </w:rPr>
          <w:t>Совершенствование схемы десорбции бутадиена</w:t>
        </w:r>
        <w:r w:rsidRPr="005B76F6">
          <w:rPr>
            <w:rFonts w:ascii="Times New Roman" w:eastAsia="Times New Roman" w:hAnsi="Times New Roman" w:cs="Times New Roman"/>
            <w:color w:val="000000"/>
            <w:kern w:val="0"/>
            <w:sz w:val="28"/>
            <w:szCs w:val="28"/>
            <w:lang w:eastAsia="ru-RU" w:bidi="ru-RU"/>
          </w:rPr>
          <w:tab/>
          <w:t xml:space="preserve"> 84</w:t>
        </w:r>
      </w:hyperlink>
    </w:p>
    <w:p w:rsidR="005B76F6" w:rsidRPr="005B76F6" w:rsidRDefault="005B76F6" w:rsidP="005B76F6">
      <w:pPr>
        <w:numPr>
          <w:ilvl w:val="0"/>
          <w:numId w:val="38"/>
        </w:numPr>
        <w:tabs>
          <w:tab w:val="clear" w:pos="709"/>
          <w:tab w:val="left" w:pos="66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АНАЛИЗ И ПРОГНОЗИРОВАНИЕ ЭФФЕКТИВНОСТИ</w:t>
      </w:r>
    </w:p>
    <w:p w:rsidR="005B76F6" w:rsidRPr="005B76F6" w:rsidRDefault="005B76F6" w:rsidP="005B76F6">
      <w:pPr>
        <w:tabs>
          <w:tab w:val="clear" w:pos="709"/>
          <w:tab w:val="right" w:leader="dot" w:pos="98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ПРОИЗВОДСТВА БУТАДИЕНА</w:t>
      </w:r>
      <w:r w:rsidRPr="005B76F6">
        <w:rPr>
          <w:rFonts w:ascii="Times New Roman" w:eastAsia="Times New Roman" w:hAnsi="Times New Roman" w:cs="Times New Roman"/>
          <w:color w:val="000000"/>
          <w:kern w:val="0"/>
          <w:sz w:val="28"/>
          <w:szCs w:val="28"/>
          <w:lang w:eastAsia="ru-RU" w:bidi="ru-RU"/>
        </w:rPr>
        <w:tab/>
        <w:t xml:space="preserve"> 91</w:t>
      </w:r>
    </w:p>
    <w:p w:rsidR="005B76F6" w:rsidRPr="005B76F6" w:rsidRDefault="005B76F6" w:rsidP="005B76F6">
      <w:pPr>
        <w:numPr>
          <w:ilvl w:val="1"/>
          <w:numId w:val="38"/>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Влияния состава сырья и технологических параметров производства</w:t>
      </w:r>
    </w:p>
    <w:p w:rsidR="005B76F6" w:rsidRPr="005B76F6" w:rsidRDefault="005B76F6" w:rsidP="005B76F6">
      <w:pPr>
        <w:tabs>
          <w:tab w:val="clear" w:pos="709"/>
          <w:tab w:val="right" w:leader="dot" w:pos="98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бутадиена на расходный коэффициент бутадиена</w:t>
      </w:r>
      <w:r w:rsidRPr="005B76F6">
        <w:rPr>
          <w:rFonts w:ascii="Times New Roman" w:eastAsia="Times New Roman" w:hAnsi="Times New Roman" w:cs="Times New Roman"/>
          <w:color w:val="000000"/>
          <w:kern w:val="0"/>
          <w:sz w:val="28"/>
          <w:szCs w:val="28"/>
          <w:lang w:eastAsia="ru-RU" w:bidi="ru-RU"/>
        </w:rPr>
        <w:tab/>
        <w:t xml:space="preserve"> 92</w:t>
      </w:r>
    </w:p>
    <w:p w:rsidR="005B76F6" w:rsidRPr="005B76F6" w:rsidRDefault="005B76F6" w:rsidP="005B76F6">
      <w:pPr>
        <w:numPr>
          <w:ilvl w:val="1"/>
          <w:numId w:val="38"/>
        </w:numPr>
        <w:tabs>
          <w:tab w:val="clear" w:pos="709"/>
          <w:tab w:val="left" w:pos="52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Программный комплекс расчета расходного коэффициента бутадиена-</w:t>
      </w:r>
    </w:p>
    <w:p w:rsidR="005B76F6" w:rsidRPr="005B76F6" w:rsidRDefault="005B76F6" w:rsidP="005B76F6">
      <w:pPr>
        <w:numPr>
          <w:ilvl w:val="0"/>
          <w:numId w:val="39"/>
        </w:numPr>
        <w:tabs>
          <w:tab w:val="clear" w:pos="709"/>
          <w:tab w:val="left" w:pos="522"/>
          <w:tab w:val="center" w:leader="dot" w:pos="964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ab/>
        <w:t xml:space="preserve"> 103</w:t>
      </w:r>
    </w:p>
    <w:p w:rsidR="005B76F6" w:rsidRPr="005B76F6" w:rsidRDefault="005B76F6" w:rsidP="005B76F6">
      <w:pPr>
        <w:tabs>
          <w:tab w:val="clear" w:pos="709"/>
          <w:tab w:val="center" w:leader="dot" w:pos="96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1" w:tooltip="Current Document">
        <w:r w:rsidRPr="005B76F6">
          <w:rPr>
            <w:rFonts w:ascii="Times New Roman" w:eastAsia="Times New Roman" w:hAnsi="Times New Roman" w:cs="Times New Roman"/>
            <w:color w:val="000000"/>
            <w:kern w:val="0"/>
            <w:sz w:val="28"/>
            <w:szCs w:val="28"/>
            <w:lang w:eastAsia="ru-RU" w:bidi="ru-RU"/>
          </w:rPr>
          <w:t>ЗАКЛЮЧЕНИЕ</w:t>
        </w:r>
        <w:r w:rsidRPr="005B76F6">
          <w:rPr>
            <w:rFonts w:ascii="Times New Roman" w:eastAsia="Times New Roman" w:hAnsi="Times New Roman" w:cs="Times New Roman"/>
            <w:color w:val="000000"/>
            <w:kern w:val="0"/>
            <w:sz w:val="28"/>
            <w:szCs w:val="28"/>
            <w:lang w:eastAsia="ru-RU" w:bidi="ru-RU"/>
          </w:rPr>
          <w:tab/>
          <w:t xml:space="preserve"> 108</w:t>
        </w:r>
      </w:hyperlink>
    </w:p>
    <w:p w:rsidR="005B76F6" w:rsidRPr="005B76F6" w:rsidRDefault="005B76F6" w:rsidP="005B76F6">
      <w:pPr>
        <w:tabs>
          <w:tab w:val="clear" w:pos="709"/>
          <w:tab w:val="center" w:leader="dot" w:pos="96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2" w:tooltip="Current Document">
        <w:r w:rsidRPr="005B76F6">
          <w:rPr>
            <w:rFonts w:ascii="Times New Roman" w:eastAsia="Times New Roman" w:hAnsi="Times New Roman" w:cs="Times New Roman"/>
            <w:color w:val="000000"/>
            <w:kern w:val="0"/>
            <w:sz w:val="28"/>
            <w:szCs w:val="28"/>
            <w:lang w:eastAsia="ru-RU" w:bidi="ru-RU"/>
          </w:rPr>
          <w:t>СПИСОК ЛИТЕРАТУРЫ</w:t>
        </w:r>
        <w:r w:rsidRPr="005B76F6">
          <w:rPr>
            <w:rFonts w:ascii="Times New Roman" w:eastAsia="Times New Roman" w:hAnsi="Times New Roman" w:cs="Times New Roman"/>
            <w:color w:val="000000"/>
            <w:kern w:val="0"/>
            <w:sz w:val="28"/>
            <w:szCs w:val="28"/>
            <w:lang w:eastAsia="ru-RU" w:bidi="ru-RU"/>
          </w:rPr>
          <w:tab/>
          <w:t xml:space="preserve"> 110</w:t>
        </w:r>
      </w:hyperlink>
    </w:p>
    <w:p w:rsidR="005B76F6" w:rsidRPr="005B76F6" w:rsidRDefault="005B76F6" w:rsidP="005B76F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Приложение 1. Измерение пропускной способности газораспределительных</w:t>
      </w:r>
    </w:p>
    <w:p w:rsidR="005B76F6" w:rsidRPr="005B76F6" w:rsidRDefault="005B76F6" w:rsidP="005B76F6">
      <w:pPr>
        <w:tabs>
          <w:tab w:val="clear" w:pos="709"/>
          <w:tab w:val="center" w:leader="dot" w:pos="96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насадок</w:t>
      </w:r>
      <w:r w:rsidRPr="005B76F6">
        <w:rPr>
          <w:rFonts w:ascii="Times New Roman" w:eastAsia="Times New Roman" w:hAnsi="Times New Roman" w:cs="Times New Roman"/>
          <w:color w:val="000000"/>
          <w:kern w:val="0"/>
          <w:sz w:val="28"/>
          <w:szCs w:val="28"/>
          <w:lang w:eastAsia="ru-RU" w:bidi="ru-RU"/>
        </w:rPr>
        <w:tab/>
        <w:t xml:space="preserve"> 123</w:t>
      </w:r>
    </w:p>
    <w:p w:rsidR="005B76F6" w:rsidRPr="005B76F6" w:rsidRDefault="005B76F6" w:rsidP="005B76F6">
      <w:pPr>
        <w:tabs>
          <w:tab w:val="clear" w:pos="709"/>
          <w:tab w:val="center" w:leader="dot" w:pos="96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5B76F6" w:rsidRPr="005B76F6">
          <w:pgSz w:w="11900" w:h="16840"/>
          <w:pgMar w:top="1378" w:right="655" w:bottom="1378" w:left="1348" w:header="0" w:footer="3" w:gutter="0"/>
          <w:cols w:space="720"/>
          <w:noEndnote/>
          <w:docGrid w:linePitch="360"/>
        </w:sectPr>
      </w:pPr>
      <w:hyperlink w:anchor="bookmark54" w:tooltip="Current Document">
        <w:r w:rsidRPr="005B76F6">
          <w:rPr>
            <w:rFonts w:ascii="Times New Roman" w:eastAsia="Times New Roman" w:hAnsi="Times New Roman" w:cs="Times New Roman"/>
            <w:color w:val="000000"/>
            <w:kern w:val="0"/>
            <w:sz w:val="28"/>
            <w:szCs w:val="28"/>
            <w:lang w:eastAsia="ru-RU" w:bidi="ru-RU"/>
          </w:rPr>
          <w:t>Приложение 2. Справки о внедрении разработок в производство</w:t>
        </w:r>
        <w:r w:rsidRPr="005B76F6">
          <w:rPr>
            <w:rFonts w:ascii="Times New Roman" w:eastAsia="Times New Roman" w:hAnsi="Times New Roman" w:cs="Times New Roman"/>
            <w:color w:val="000000"/>
            <w:kern w:val="0"/>
            <w:sz w:val="28"/>
            <w:szCs w:val="28"/>
            <w:lang w:eastAsia="ru-RU" w:bidi="ru-RU"/>
          </w:rPr>
          <w:tab/>
          <w:t xml:space="preserve"> 128</w:t>
        </w:r>
      </w:hyperlink>
      <w:r w:rsidRPr="005B76F6">
        <w:rPr>
          <w:rFonts w:ascii="Times New Roman" w:eastAsia="Times New Roman" w:hAnsi="Times New Roman" w:cs="Times New Roman"/>
          <w:color w:val="000000"/>
          <w:kern w:val="0"/>
          <w:sz w:val="28"/>
          <w:szCs w:val="28"/>
          <w:lang w:eastAsia="ru-RU" w:bidi="ru-RU"/>
        </w:rPr>
        <w:fldChar w:fldCharType="end"/>
      </w:r>
    </w:p>
    <w:p w:rsidR="005B76F6" w:rsidRPr="005B76F6" w:rsidRDefault="005B76F6" w:rsidP="005B76F6">
      <w:pPr>
        <w:keepNext/>
        <w:keepLines/>
        <w:tabs>
          <w:tab w:val="clear" w:pos="709"/>
        </w:tabs>
        <w:suppressAutoHyphens w:val="0"/>
        <w:spacing w:after="472" w:line="280" w:lineRule="exact"/>
        <w:ind w:firstLine="0"/>
        <w:jc w:val="center"/>
        <w:outlineLvl w:val="3"/>
        <w:rPr>
          <w:rFonts w:ascii="Times New Roman" w:eastAsia="Times New Roman" w:hAnsi="Times New Roman" w:cs="Times New Roman"/>
          <w:b/>
          <w:bCs/>
          <w:color w:val="000000"/>
          <w:kern w:val="0"/>
          <w:sz w:val="28"/>
          <w:szCs w:val="28"/>
          <w:lang w:eastAsia="ru-RU" w:bidi="ru-RU"/>
        </w:rPr>
      </w:pPr>
      <w:bookmarkStart w:id="1" w:name="bookmark1"/>
      <w:r w:rsidRPr="005B76F6">
        <w:rPr>
          <w:rFonts w:ascii="Times New Roman" w:eastAsia="Times New Roman" w:hAnsi="Times New Roman" w:cs="Times New Roman"/>
          <w:b/>
          <w:bCs/>
          <w:color w:val="000000"/>
          <w:kern w:val="0"/>
          <w:sz w:val="28"/>
          <w:szCs w:val="28"/>
          <w:lang w:eastAsia="ru-RU" w:bidi="ru-RU"/>
        </w:rPr>
        <w:t>ВВЕДЕНИЕ</w:t>
      </w:r>
      <w:bookmarkEnd w:id="1"/>
    </w:p>
    <w:p w:rsidR="005B76F6" w:rsidRPr="005B76F6" w:rsidRDefault="005B76F6" w:rsidP="005B76F6">
      <w:pPr>
        <w:keepNext/>
        <w:keepLines/>
        <w:tabs>
          <w:tab w:val="clear" w:pos="709"/>
        </w:tabs>
        <w:suppressAutoHyphens w:val="0"/>
        <w:spacing w:after="0" w:line="480" w:lineRule="exact"/>
        <w:ind w:firstLine="740"/>
        <w:outlineLvl w:val="3"/>
        <w:rPr>
          <w:rFonts w:ascii="Times New Roman" w:eastAsia="Times New Roman" w:hAnsi="Times New Roman" w:cs="Times New Roman"/>
          <w:b/>
          <w:bCs/>
          <w:color w:val="000000"/>
          <w:kern w:val="0"/>
          <w:sz w:val="28"/>
          <w:szCs w:val="28"/>
          <w:lang w:eastAsia="ru-RU" w:bidi="ru-RU"/>
        </w:rPr>
      </w:pPr>
      <w:bookmarkStart w:id="2" w:name="bookmark2"/>
      <w:r w:rsidRPr="005B76F6">
        <w:rPr>
          <w:rFonts w:ascii="Times New Roman" w:eastAsia="Times New Roman" w:hAnsi="Times New Roman" w:cs="Times New Roman"/>
          <w:b/>
          <w:bCs/>
          <w:color w:val="000000"/>
          <w:kern w:val="0"/>
          <w:sz w:val="28"/>
          <w:szCs w:val="28"/>
          <w:lang w:eastAsia="ru-RU" w:bidi="ru-RU"/>
        </w:rPr>
        <w:t>Актуальность работы и степень ее разработанности.</w:t>
      </w:r>
      <w:bookmarkEnd w:id="2"/>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Бутадиен-1,3 (бутадиен) является основным диеновым мономером для производства синтетических каучуков и термоэластопластов. Одним из промышленных способов выделения бутадиена из бутадиенсодержащих фракций пиролиза углеводородов - бутилен-бутадиеновой фракции (ББФ) - является хемосорбция. Сырьем для производства бутадиена служит бутилен-бутадиеновая фракция (ББФ) пиролиза углеводородов. В связи с недостаточным количеством ББФ на рынке сырья, в производство бутадиена так же вовлекаются другие бутадиенсодержащие фракции с меньшим содержанием бутадиена и содержанием микропримесей, превышающих нормируемые для ББФ значения.</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Основными стадиями в технологического процесса бутадиена по данному способу являются: очистка ББФ ректификацией от тяжелых С</w:t>
      </w:r>
      <w:r w:rsidRPr="005B76F6">
        <w:rPr>
          <w:rFonts w:ascii="Times New Roman" w:eastAsia="Times New Roman" w:hAnsi="Times New Roman" w:cs="Times New Roman"/>
          <w:color w:val="000000"/>
          <w:kern w:val="0"/>
          <w:sz w:val="28"/>
          <w:szCs w:val="28"/>
          <w:vertAlign w:val="subscript"/>
          <w:lang w:eastAsia="ru-RU" w:bidi="ru-RU"/>
        </w:rPr>
        <w:t>5</w:t>
      </w:r>
      <w:r w:rsidRPr="005B76F6">
        <w:rPr>
          <w:rFonts w:ascii="Times New Roman" w:eastAsia="Times New Roman" w:hAnsi="Times New Roman" w:cs="Times New Roman"/>
          <w:color w:val="000000"/>
          <w:kern w:val="0"/>
          <w:sz w:val="28"/>
          <w:szCs w:val="28"/>
          <w:lang w:eastAsia="ru-RU" w:bidi="ru-RU"/>
        </w:rPr>
        <w:t>+ и легких С</w:t>
      </w:r>
      <w:r w:rsidRPr="005B76F6">
        <w:rPr>
          <w:rFonts w:ascii="Times New Roman" w:eastAsia="Times New Roman" w:hAnsi="Times New Roman" w:cs="Times New Roman"/>
          <w:color w:val="000000"/>
          <w:kern w:val="0"/>
          <w:sz w:val="28"/>
          <w:szCs w:val="28"/>
          <w:vertAlign w:val="subscript"/>
          <w:lang w:eastAsia="ru-RU" w:bidi="ru-RU"/>
        </w:rPr>
        <w:t xml:space="preserve">3- </w:t>
      </w:r>
      <w:r w:rsidRPr="005B76F6">
        <w:rPr>
          <w:rFonts w:ascii="Times New Roman" w:eastAsia="Times New Roman" w:hAnsi="Times New Roman" w:cs="Times New Roman"/>
          <w:color w:val="000000"/>
          <w:kern w:val="0"/>
          <w:sz w:val="28"/>
          <w:szCs w:val="28"/>
          <w:lang w:eastAsia="ru-RU" w:bidi="ru-RU"/>
        </w:rPr>
        <w:t>углеводородов, влаги и метанола, очистка от ацетиленовых углеводородов гидрированием на селективном катализаторе, выделение бутадиена из ББФ методом хемосорбции с использованием медно-аммиачного раствора (МАР) ацетата одновалентной меди. Технологический процесс организован по непрерывной схеме.</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При ректификации ББФ часть бутадиена выводится из состава целевого потока в составе отдувок и с кубовым продуктом. В колонне азеотропной осушки от влаги и метанола бутадиен так же уносится с отдувками.</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Стадия гидрирования ББФ предназначена для селективной очистки от ацетиленовых углеводородов (АУ). Необходимость в гидрировании АУ в ББФ обусловлена тем, что на стадии хемосорбции АУ, взаимодействуя с МАР, приводят к ухудшению его рабочих свойств, образуют ацетилениды меди. Ацетилениды меди обладают свойством детонировать при нагревании. Кроме этого, АУ способствуют образованию полимерных соединений в системе хемосорбции. Очистка бутилен-бутадиеновой фракции от АУ производится каталитическим гидрированием на палладиевом катализаторе до нормируемого остаточного содержания не более 0,02 % масс. Гидрирование бутадиена приводит к образованию бутана, содержание которого в углеводородном потоке является балластным. Уменьшение содержания бутадиена на стадии гидрирования АУ достигает до 3,0 % абс. и более в зависимости от селективности катализатора, от его пробега, температуры сырья и давления в реакторах.</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 xml:space="preserve">В составе медно-аммиачного комплекса одновалентной меди </w:t>
      </w:r>
      <w:r w:rsidRPr="005B76F6">
        <w:rPr>
          <w:rFonts w:ascii="Times New Roman" w:eastAsia="Times New Roman" w:hAnsi="Times New Roman" w:cs="Times New Roman"/>
          <w:color w:val="000000"/>
          <w:kern w:val="0"/>
          <w:sz w:val="28"/>
          <w:szCs w:val="28"/>
          <w:lang w:val="en-US" w:eastAsia="en-US" w:bidi="en-US"/>
        </w:rPr>
        <w:t>Cu</w:t>
      </w:r>
      <w:r w:rsidRPr="005B76F6">
        <w:rPr>
          <w:rFonts w:ascii="Times New Roman" w:eastAsia="Times New Roman" w:hAnsi="Times New Roman" w:cs="Times New Roman"/>
          <w:color w:val="000000"/>
          <w:kern w:val="0"/>
          <w:sz w:val="28"/>
          <w:szCs w:val="28"/>
          <w:lang w:eastAsia="en-US" w:bidi="en-US"/>
        </w:rPr>
        <w:t xml:space="preserve">+ </w:t>
      </w:r>
      <w:r w:rsidRPr="005B76F6">
        <w:rPr>
          <w:rFonts w:ascii="Times New Roman" w:eastAsia="Times New Roman" w:hAnsi="Times New Roman" w:cs="Times New Roman"/>
          <w:color w:val="000000"/>
          <w:kern w:val="0"/>
          <w:sz w:val="28"/>
          <w:szCs w:val="28"/>
          <w:lang w:eastAsia="ru-RU" w:bidi="ru-RU"/>
        </w:rPr>
        <w:t xml:space="preserve">присутствуют соединения двухвалентной меди </w:t>
      </w:r>
      <w:r w:rsidRPr="005B76F6">
        <w:rPr>
          <w:rFonts w:ascii="Times New Roman" w:eastAsia="Times New Roman" w:hAnsi="Times New Roman" w:cs="Times New Roman"/>
          <w:color w:val="000000"/>
          <w:kern w:val="0"/>
          <w:sz w:val="28"/>
          <w:szCs w:val="28"/>
          <w:lang w:val="en-US" w:eastAsia="en-US" w:bidi="en-US"/>
        </w:rPr>
        <w:t>Cu</w:t>
      </w:r>
      <w:r w:rsidRPr="005B76F6">
        <w:rPr>
          <w:rFonts w:ascii="Times New Roman" w:eastAsia="Times New Roman" w:hAnsi="Times New Roman" w:cs="Times New Roman"/>
          <w:color w:val="000000"/>
          <w:kern w:val="0"/>
          <w:sz w:val="28"/>
          <w:szCs w:val="28"/>
          <w:vertAlign w:val="superscript"/>
          <w:lang w:eastAsia="en-US" w:bidi="en-US"/>
        </w:rPr>
        <w:t>2</w:t>
      </w:r>
      <w:r w:rsidRPr="005B76F6">
        <w:rPr>
          <w:rFonts w:ascii="Times New Roman" w:eastAsia="Times New Roman" w:hAnsi="Times New Roman" w:cs="Times New Roman"/>
          <w:color w:val="000000"/>
          <w:kern w:val="0"/>
          <w:sz w:val="28"/>
          <w:szCs w:val="28"/>
          <w:lang w:eastAsia="en-US" w:bidi="en-US"/>
        </w:rPr>
        <w:t xml:space="preserve">+, </w:t>
      </w:r>
      <w:r w:rsidRPr="005B76F6">
        <w:rPr>
          <w:rFonts w:ascii="Times New Roman" w:eastAsia="Times New Roman" w:hAnsi="Times New Roman" w:cs="Times New Roman"/>
          <w:color w:val="000000"/>
          <w:kern w:val="0"/>
          <w:sz w:val="28"/>
          <w:szCs w:val="28"/>
          <w:lang w:eastAsia="ru-RU" w:bidi="ru-RU"/>
        </w:rPr>
        <w:t>которые находятся в равновесии. Нарушение равновесия ионов одно- и двух валентной меди приводит к осаждению металлической меди, что является одним из недостатков технологии выделения бутадиена хемосорбцией. Выпадение металлической меди приводит к изменению состава МАР и снижению его сорбционной емкости, уменьшению производительности процесса, электрохимической коррозии оборудования. Проблема контроля и управления качества МАР заключается в том, что установленные нормируемые пределы концентрации аммиака и значения pH не полностью характеризуют стабильность МАР с различным содержанием одно- и двухвалентной меди. В связи с этим необходим подбор метода контроля параметра МАР, определяющего равновесные концентрации компонентов.</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На стадии выделения бутадиена из ББФ хемосорбцией в МАР происходит накопление примесей тяжёлых углеводородов. Присутствие примесей приводит к ухудшению рабочих свойств поглотительного раствора. Для сохранения рабочих свойств циркулирующего МАР часть раствора подвергается адсорбционной очистке - регенерации. Одним из методов регенерации поглотительного раствора является его фильтрация через активный уголь АГ-3. Пористая структура активного угля способна сорбировать загрязняющие МАР микропримеси, соизмеримые с размерами пор. Примеси, размер молекул которых превышают размер пор активного угля, сорбируются на поверхности гранул угля, экранируя поверхность, что снижает его фильтрационную ёмкость.</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На стадии хемосорбции бутилен-бутадиеновая фракция делится на бутадиен и бутилен-изобутиленовую фракцию (БИФ). Вывод бутадиена с БИФ рассматривается как его потери из целевого потока.</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Для вытеснения растворенных в насыщенном МАР бутиленов осуществляется возврат бутиленов и бутадиена из колонны предварительной десорбции в колонну хемосорбции. В целях достижения требуемой концентрации бутадиена в товарном продукте необходимо либо увеличивать циркуляцию МАР, подаваемого в колонну хемосорбции, либо увеличивать в колонне число ступеней контакта.</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Одним из основных показателей для анализа и прогнозирования эффективности функционирования производства являются расходные коэффициенты. Изменения состава сырья в связи с изменением сырьевой базы отражаются на технологических параметрах процесса и, в итоге, на расходном коэффициенте получения бутадиена. Расчет изменения расходного коэффициента от стадии к стадии позволяет определить ключевые стадии технологического процесса, на которых имеют место нецелевые потери бутадиена, и искать пути изменения технологического режима, использования оптимального углеводородного состава сырья или конструкционного совершенствования аппаратов. Оценка степени влияния углеводородного состава сырья и основных технологических параметров возможна на основе компьютерного прогнозирования значения расходного коэффициента.</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Вышеизложенное свидетельствует об актуальности проблем и обусловило выбор темы исследований.</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Цель работы.</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Исследование и совершенствование технологии производства бутадиена-1,3 из бутадиенсодержащих фракций хемосорбцией.</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 xml:space="preserve">Для достижения указанной цели решались следующие основные </w:t>
      </w:r>
      <w:r w:rsidRPr="005B76F6">
        <w:rPr>
          <w:rFonts w:ascii="Times New Roman" w:eastAsia="Times New Roman" w:hAnsi="Times New Roman" w:cs="Times New Roman"/>
          <w:b/>
          <w:bCs/>
          <w:color w:val="000000"/>
          <w:kern w:val="0"/>
          <w:sz w:val="28"/>
          <w:szCs w:val="28"/>
          <w:lang w:eastAsia="ru-RU" w:bidi="ru-RU"/>
        </w:rPr>
        <w:t>задачи</w:t>
      </w:r>
      <w:r w:rsidRPr="005B76F6">
        <w:rPr>
          <w:rFonts w:ascii="Times New Roman" w:eastAsia="Times New Roman" w:hAnsi="Times New Roman" w:cs="Times New Roman"/>
          <w:color w:val="000000"/>
          <w:kern w:val="0"/>
          <w:sz w:val="28"/>
          <w:szCs w:val="28"/>
          <w:lang w:eastAsia="ru-RU" w:bidi="ru-RU"/>
        </w:rPr>
        <w:t>:</w:t>
      </w:r>
    </w:p>
    <w:p w:rsidR="005B76F6" w:rsidRPr="005B76F6" w:rsidRDefault="005B76F6" w:rsidP="005B76F6">
      <w:pPr>
        <w:numPr>
          <w:ilvl w:val="0"/>
          <w:numId w:val="40"/>
        </w:numPr>
        <w:tabs>
          <w:tab w:val="clear" w:pos="709"/>
          <w:tab w:val="left" w:pos="119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Изучение влияния гидродинамики паро-газо-жидкостного потока реакционной смеси в реакторе гидрирования на эффективность гидрирования ацетиленовых соединений в ББФ.</w:t>
      </w:r>
    </w:p>
    <w:p w:rsidR="005B76F6" w:rsidRPr="005B76F6" w:rsidRDefault="005B76F6" w:rsidP="005B76F6">
      <w:pPr>
        <w:numPr>
          <w:ilvl w:val="0"/>
          <w:numId w:val="40"/>
        </w:numPr>
        <w:tabs>
          <w:tab w:val="clear" w:pos="709"/>
          <w:tab w:val="left" w:pos="105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Подбор метода контроля параметра МАР, определяющего равновесные концентрации компонентов и способа их обеспечения.</w:t>
      </w:r>
    </w:p>
    <w:p w:rsidR="005B76F6" w:rsidRPr="005B76F6" w:rsidRDefault="005B76F6" w:rsidP="005B76F6">
      <w:pPr>
        <w:numPr>
          <w:ilvl w:val="0"/>
          <w:numId w:val="40"/>
        </w:numPr>
        <w:tabs>
          <w:tab w:val="clear" w:pos="709"/>
          <w:tab w:val="left" w:pos="105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Изучение сорбционных свойств и возможности применения доступного сорбента для частичной замены активного угля при регенерации МАР.</w:t>
      </w:r>
    </w:p>
    <w:p w:rsidR="005B76F6" w:rsidRPr="005B76F6" w:rsidRDefault="005B76F6" w:rsidP="005B76F6">
      <w:pPr>
        <w:numPr>
          <w:ilvl w:val="0"/>
          <w:numId w:val="40"/>
        </w:numPr>
        <w:tabs>
          <w:tab w:val="clear" w:pos="709"/>
          <w:tab w:val="left" w:pos="125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Совершенствование технологической схемы узла хемосорбция - десорбция бутадиена.</w:t>
      </w:r>
    </w:p>
    <w:p w:rsidR="005B76F6" w:rsidRPr="005B76F6" w:rsidRDefault="005B76F6" w:rsidP="005B76F6">
      <w:pPr>
        <w:numPr>
          <w:ilvl w:val="0"/>
          <w:numId w:val="40"/>
        </w:numPr>
        <w:tabs>
          <w:tab w:val="clear" w:pos="709"/>
          <w:tab w:val="left" w:pos="106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Изучение влияния состава продуктовых потоков и отдельных стадий технологического процесса на расходный коэффициент бутадиена, определение ключевых стадий процесса. Разработка программного комплекса расчета планового и фактического значения расходного коэффициента бутадиена.</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Научная новизна.</w:t>
      </w:r>
    </w:p>
    <w:p w:rsidR="005B76F6" w:rsidRPr="005B76F6" w:rsidRDefault="005B76F6" w:rsidP="005B76F6">
      <w:pPr>
        <w:numPr>
          <w:ilvl w:val="0"/>
          <w:numId w:val="41"/>
        </w:numPr>
        <w:tabs>
          <w:tab w:val="clear" w:pos="709"/>
          <w:tab w:val="left" w:pos="125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Для обеспечения стабильности медно-аммиачного раствора, циркулирующего в значительном диапазоне изменения температуры, окислительно-восстановительный потенциал (ОВП) раствора, следует поддерживать в интервале 435 - 525 мВ.</w:t>
      </w:r>
    </w:p>
    <w:p w:rsidR="005B76F6" w:rsidRPr="005B76F6" w:rsidRDefault="005B76F6" w:rsidP="005B76F6">
      <w:pPr>
        <w:numPr>
          <w:ilvl w:val="0"/>
          <w:numId w:val="41"/>
        </w:numPr>
        <w:tabs>
          <w:tab w:val="clear" w:pos="709"/>
          <w:tab w:val="left" w:pos="105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При подготовке поглотительного медно-аммиачного раствора ввод аммиака в циркулирующий раствор необходимо осуществлять равномерно-</w:t>
      </w:r>
    </w:p>
    <w:p w:rsidR="005B76F6" w:rsidRPr="005B76F6" w:rsidRDefault="005B76F6" w:rsidP="005B76F6">
      <w:pPr>
        <w:tabs>
          <w:tab w:val="clear" w:pos="709"/>
        </w:tabs>
        <w:suppressAutoHyphens w:val="0"/>
        <w:spacing w:after="0" w:line="80" w:lineRule="exact"/>
        <w:ind w:left="8360" w:firstLine="0"/>
        <w:jc w:val="left"/>
        <w:rPr>
          <w:rFonts w:ascii="Franklin Gothic Heavy" w:eastAsia="Franklin Gothic Heavy" w:hAnsi="Franklin Gothic Heavy" w:cs="Franklin Gothic Heavy"/>
          <w:color w:val="000000"/>
          <w:kern w:val="0"/>
          <w:sz w:val="8"/>
          <w:szCs w:val="8"/>
          <w:lang w:eastAsia="ru-RU" w:bidi="ru-RU"/>
        </w:rPr>
      </w:pPr>
      <w:r w:rsidRPr="005B76F6">
        <w:rPr>
          <w:rFonts w:ascii="Franklin Gothic Heavy" w:eastAsia="Franklin Gothic Heavy" w:hAnsi="Franklin Gothic Heavy" w:cs="Franklin Gothic Heavy"/>
          <w:color w:val="000000"/>
          <w:kern w:val="0"/>
          <w:sz w:val="8"/>
          <w:szCs w:val="8"/>
          <w:lang w:eastAsia="ru-RU" w:bidi="ru-RU"/>
        </w:rPr>
        <w:t>-5</w:t>
      </w:r>
    </w:p>
    <w:p w:rsidR="005B76F6" w:rsidRPr="005B76F6" w:rsidRDefault="005B76F6" w:rsidP="005B76F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дозировано. При расходе циркулирующего МАР 150-200 м /час, время дозирования 10 м аммиака должно составлять не менее 3 часов.</w:t>
      </w:r>
    </w:p>
    <w:p w:rsidR="005B76F6" w:rsidRPr="005B76F6" w:rsidRDefault="005B76F6" w:rsidP="005B76F6">
      <w:pPr>
        <w:numPr>
          <w:ilvl w:val="0"/>
          <w:numId w:val="41"/>
        </w:numPr>
        <w:tabs>
          <w:tab w:val="clear" w:pos="709"/>
          <w:tab w:val="left" w:pos="105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Организация жидкостного орошения колонны хемосорбции смесью МАР и бутан-бутиленовой фракции позволяет повысить сорбционную эффективность колонны. Применение трубчатого турбулентного аппарата обеспечивает высокую степень перемешивания потоков, способствует формированию дисперсной системы, близкой к равновесной.</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Теоретическая и практическая значимость.</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Теоретическая значимость работы заключается в научном обосновании контроля качества циркулирующего МАР по значению окислительно</w:t>
      </w:r>
      <w:r w:rsidRPr="005B76F6">
        <w:rPr>
          <w:rFonts w:ascii="Times New Roman" w:eastAsia="Times New Roman" w:hAnsi="Times New Roman" w:cs="Times New Roman"/>
          <w:color w:val="000000"/>
          <w:kern w:val="0"/>
          <w:sz w:val="28"/>
          <w:szCs w:val="28"/>
          <w:lang w:eastAsia="ru-RU" w:bidi="ru-RU"/>
        </w:rPr>
        <w:softHyphen/>
        <w:t>восстановительного потенциала раствора, повышении сорбционной эффективности колонны хемосорбции организацией жидкостного орошения колонны смесью МАР и бутан-бутиленовой фракции.</w:t>
      </w:r>
    </w:p>
    <w:p w:rsidR="005B76F6" w:rsidRPr="005B76F6" w:rsidRDefault="005B76F6" w:rsidP="005B76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Практическая значимость работы заключается в следующем.</w:t>
      </w:r>
    </w:p>
    <w:p w:rsidR="005B76F6" w:rsidRPr="005B76F6" w:rsidRDefault="005B76F6" w:rsidP="005B76F6">
      <w:pPr>
        <w:numPr>
          <w:ilvl w:val="0"/>
          <w:numId w:val="42"/>
        </w:numPr>
        <w:tabs>
          <w:tab w:val="clear" w:pos="709"/>
          <w:tab w:val="left" w:pos="109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Применение в реакторе гидрирования ацетиленовых углеводородов газораспределительных насадок с малым диапазоном изменения перепада давления (не более 10% от среднего значения) обеспечивает формирование однородного мелкопузырькового режима течения паро-газо-жидкостного потока реакционной смеси, что позволяет уменьшить потери бутадиена, сократить мольное соотношение водород/(ацетиленовые углеводороды).</w:t>
      </w:r>
    </w:p>
    <w:p w:rsidR="005B76F6" w:rsidRPr="005B76F6" w:rsidRDefault="005B76F6" w:rsidP="005B76F6">
      <w:pPr>
        <w:numPr>
          <w:ilvl w:val="0"/>
          <w:numId w:val="42"/>
        </w:numPr>
        <w:tabs>
          <w:tab w:val="clear" w:pos="709"/>
          <w:tab w:val="left" w:pos="109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При регенерации циркулирующего МАР использование в качестве верхнего адсорбирующего слоя таурита сланцевого ТС-Д позволяет уменьшить потребление дорогостоящего активного угля АГ-3.</w:t>
      </w:r>
    </w:p>
    <w:p w:rsidR="005B76F6" w:rsidRPr="005B76F6" w:rsidRDefault="005B76F6" w:rsidP="005B76F6">
      <w:pPr>
        <w:numPr>
          <w:ilvl w:val="0"/>
          <w:numId w:val="42"/>
        </w:numPr>
        <w:tabs>
          <w:tab w:val="clear" w:pos="709"/>
          <w:tab w:val="left" w:pos="109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Работа по схеме с предварительной двухступенчатой десорбцией бутан</w:t>
      </w:r>
      <w:r w:rsidRPr="005B76F6">
        <w:rPr>
          <w:rFonts w:ascii="Times New Roman" w:eastAsia="Times New Roman" w:hAnsi="Times New Roman" w:cs="Times New Roman"/>
          <w:color w:val="000000"/>
          <w:kern w:val="0"/>
          <w:sz w:val="28"/>
          <w:szCs w:val="28"/>
          <w:lang w:eastAsia="ru-RU" w:bidi="ru-RU"/>
        </w:rPr>
        <w:softHyphen/>
        <w:t>бутадиеновых фракций из насыщенного МАР с подачей в низ колонны хемосорбции отгона второй ступени преддесорбции позволяет исключить использование товарного бутадиена в качестве рецикла для укрепления кубовой части колонны, снизить тепловую нагрузку на стадии хемосорбции.</w:t>
      </w:r>
    </w:p>
    <w:p w:rsidR="005B76F6" w:rsidRPr="005B76F6" w:rsidRDefault="005B76F6" w:rsidP="005B76F6">
      <w:pPr>
        <w:numPr>
          <w:ilvl w:val="0"/>
          <w:numId w:val="42"/>
        </w:numPr>
        <w:tabs>
          <w:tab w:val="clear" w:pos="709"/>
          <w:tab w:val="left" w:pos="109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По степени влияния на расходный коэффициент бутадиена, стадии процесса выделения бутадиена из ББФ хемосорбцией можно расположить в ряд: гидрирование &gt; хемосорбция &gt; очистка ББФ ректификацией.</w:t>
      </w:r>
    </w:p>
    <w:p w:rsidR="005B76F6" w:rsidRPr="005B76F6" w:rsidRDefault="005B76F6" w:rsidP="005B76F6">
      <w:pPr>
        <w:numPr>
          <w:ilvl w:val="0"/>
          <w:numId w:val="42"/>
        </w:numPr>
        <w:tabs>
          <w:tab w:val="clear" w:pos="709"/>
          <w:tab w:val="left" w:pos="109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Разработан программный комплекс расчета расходного коэффициента бутадиена, позволяющий проводить анализ деятельности производства по фактическим значениям аналитического контроля, расходам сырьевых и продуктовых потоков, а так же разработать плановые нормы расхода при использовании сырья другого состава, заданной марки получаемого бутадиена.</w:t>
      </w:r>
    </w:p>
    <w:p w:rsidR="005B76F6" w:rsidRPr="005B76F6" w:rsidRDefault="005B76F6" w:rsidP="005B76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 xml:space="preserve">Разработки по модернизации газораспределительных насадок реактора гидрирования, частичной замене активного угля АГ-3 тауритом сланцевым, стабилизации МАР дозированным вводом раствора аммиака, программного комплекса расчета расходного коэффициента бутадиена внедрены на ОАО «Стерлитамакский нефтехимический завод». Выполнена </w:t>
      </w:r>
      <w:r w:rsidRPr="005B76F6">
        <w:rPr>
          <w:rFonts w:ascii="Times New Roman" w:eastAsia="Times New Roman" w:hAnsi="Times New Roman" w:cs="Times New Roman"/>
          <w:color w:val="000000"/>
          <w:kern w:val="0"/>
          <w:sz w:val="28"/>
          <w:szCs w:val="28"/>
          <w:lang w:val="uk-UA" w:eastAsia="uk-UA" w:bidi="uk-UA"/>
        </w:rPr>
        <w:t xml:space="preserve">проектно- </w:t>
      </w:r>
      <w:r w:rsidRPr="005B76F6">
        <w:rPr>
          <w:rFonts w:ascii="Times New Roman" w:eastAsia="Times New Roman" w:hAnsi="Times New Roman" w:cs="Times New Roman"/>
          <w:color w:val="000000"/>
          <w:kern w:val="0"/>
          <w:sz w:val="28"/>
          <w:szCs w:val="28"/>
          <w:lang w:eastAsia="ru-RU" w:bidi="ru-RU"/>
        </w:rPr>
        <w:t>сметная документация схемы двухступенчатой десорбции бутан-бутадиеновых фракций из насыщенного МАР.</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Методология и методы диссертационного исследования.</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 xml:space="preserve">Постадийное изучение производства бутадиена хемосорбцией осуществлялось с применением общепринятых методов анализа тепло- массообменных процессов, химических превращений. Применялись следующие стандартизированные методы анализа: определение массовой доли углеводородов </w:t>
      </w:r>
      <w:r w:rsidRPr="005B76F6">
        <w:rPr>
          <w:rFonts w:ascii="Times New Roman" w:eastAsia="Times New Roman" w:hAnsi="Times New Roman" w:cs="Times New Roman"/>
          <w:color w:val="000000"/>
          <w:kern w:val="0"/>
          <w:sz w:val="28"/>
          <w:szCs w:val="28"/>
          <w:lang w:val="uk-UA" w:eastAsia="uk-UA" w:bidi="uk-UA"/>
        </w:rPr>
        <w:t xml:space="preserve">Сі </w:t>
      </w:r>
      <w:r w:rsidRPr="005B76F6">
        <w:rPr>
          <w:rFonts w:ascii="Times New Roman" w:eastAsia="Times New Roman" w:hAnsi="Times New Roman" w:cs="Times New Roman"/>
          <w:color w:val="000000"/>
          <w:kern w:val="0"/>
          <w:sz w:val="28"/>
          <w:szCs w:val="28"/>
          <w:lang w:eastAsia="ru-RU" w:bidi="ru-RU"/>
        </w:rPr>
        <w:t>- С</w:t>
      </w:r>
      <w:r w:rsidRPr="005B76F6">
        <w:rPr>
          <w:rFonts w:ascii="Times New Roman" w:eastAsia="Times New Roman" w:hAnsi="Times New Roman" w:cs="Times New Roman"/>
          <w:color w:val="000000"/>
          <w:kern w:val="0"/>
          <w:sz w:val="28"/>
          <w:szCs w:val="28"/>
          <w:vertAlign w:val="subscript"/>
          <w:lang w:eastAsia="ru-RU" w:bidi="ru-RU"/>
        </w:rPr>
        <w:t>5</w:t>
      </w:r>
      <w:r w:rsidRPr="005B76F6">
        <w:rPr>
          <w:rFonts w:ascii="Times New Roman" w:eastAsia="Times New Roman" w:hAnsi="Times New Roman" w:cs="Times New Roman"/>
          <w:color w:val="000000"/>
          <w:kern w:val="0"/>
          <w:sz w:val="28"/>
          <w:szCs w:val="28"/>
          <w:lang w:eastAsia="ru-RU" w:bidi="ru-RU"/>
        </w:rPr>
        <w:t>, насыщаемость медно-аммиачного раствора углеводородами С</w:t>
      </w:r>
      <w:r w:rsidRPr="005B76F6">
        <w:rPr>
          <w:rFonts w:ascii="Times New Roman" w:eastAsia="Times New Roman" w:hAnsi="Times New Roman" w:cs="Times New Roman"/>
          <w:color w:val="000000"/>
          <w:kern w:val="0"/>
          <w:sz w:val="28"/>
          <w:szCs w:val="28"/>
          <w:vertAlign w:val="subscript"/>
          <w:lang w:eastAsia="ru-RU" w:bidi="ru-RU"/>
        </w:rPr>
        <w:t>4</w:t>
      </w:r>
      <w:r w:rsidRPr="005B76F6">
        <w:rPr>
          <w:rFonts w:ascii="Times New Roman" w:eastAsia="Times New Roman" w:hAnsi="Times New Roman" w:cs="Times New Roman"/>
          <w:color w:val="000000"/>
          <w:kern w:val="0"/>
          <w:sz w:val="28"/>
          <w:szCs w:val="28"/>
          <w:lang w:eastAsia="ru-RU" w:bidi="ru-RU"/>
        </w:rPr>
        <w:t>, содержания меди (I) и суммы меди (I) и (II) в медно-аммиачном растворе, определение времени расслаивания углеводородов и медно-аммиачного раствора. Эффективность пропускной способности газораспределительных насадок реактора гидрирования определялась на разработанной стендовой установке.</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Положения, выносимые на защиту.</w:t>
      </w:r>
    </w:p>
    <w:p w:rsidR="005B76F6" w:rsidRPr="005B76F6" w:rsidRDefault="005B76F6" w:rsidP="005B76F6">
      <w:pPr>
        <w:numPr>
          <w:ilvl w:val="0"/>
          <w:numId w:val="43"/>
        </w:numPr>
        <w:tabs>
          <w:tab w:val="clear" w:pos="709"/>
          <w:tab w:val="left" w:pos="10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Организация устойчивости работы реактора гидрирования АУ.</w:t>
      </w:r>
    </w:p>
    <w:p w:rsidR="005B76F6" w:rsidRPr="005B76F6" w:rsidRDefault="005B76F6" w:rsidP="005B76F6">
      <w:pPr>
        <w:numPr>
          <w:ilvl w:val="0"/>
          <w:numId w:val="43"/>
        </w:numPr>
        <w:tabs>
          <w:tab w:val="clear" w:pos="709"/>
          <w:tab w:val="left" w:pos="10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Подбор доступного сорбента для частичной замены активного угля при регенерации МАР.</w:t>
      </w:r>
    </w:p>
    <w:p w:rsidR="005B76F6" w:rsidRPr="005B76F6" w:rsidRDefault="005B76F6" w:rsidP="005B76F6">
      <w:pPr>
        <w:numPr>
          <w:ilvl w:val="0"/>
          <w:numId w:val="43"/>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Обеспечение стабильности циркулирующего медно-аммиачного раствора.</w:t>
      </w:r>
    </w:p>
    <w:p w:rsidR="005B76F6" w:rsidRPr="005B76F6" w:rsidRDefault="005B76F6" w:rsidP="005B76F6">
      <w:pPr>
        <w:numPr>
          <w:ilvl w:val="0"/>
          <w:numId w:val="43"/>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Повышение эффективности работы колонны хемосорбции.</w:t>
      </w:r>
    </w:p>
    <w:p w:rsidR="005B76F6" w:rsidRPr="005B76F6" w:rsidRDefault="005B76F6" w:rsidP="005B76F6">
      <w:pPr>
        <w:numPr>
          <w:ilvl w:val="0"/>
          <w:numId w:val="43"/>
        </w:numPr>
        <w:tabs>
          <w:tab w:val="clear" w:pos="709"/>
          <w:tab w:val="left" w:pos="10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Определение ключевых стадий процесса, влияющих на технологический процесс.</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Степень достоверности и апробация результатов.</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Достоверность представленных результатов обеспечивалась применением широко апробированных методов анализа. Экспериментальные исследования осуществлены на оборудовании, прошедшем государственную проверку. Полученные значения обрабатывались на основе теории математической статистики.</w:t>
      </w:r>
    </w:p>
    <w:p w:rsidR="005B76F6" w:rsidRPr="005B76F6" w:rsidRDefault="005B76F6" w:rsidP="005B76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 xml:space="preserve">Основные положения и результаты диссертационной работы доложены и обсуждены на: III научно-практической конференции </w:t>
      </w:r>
      <w:r w:rsidRPr="005B76F6">
        <w:rPr>
          <w:rFonts w:ascii="Times New Roman" w:eastAsia="Times New Roman" w:hAnsi="Times New Roman" w:cs="Times New Roman"/>
          <w:color w:val="000000"/>
          <w:kern w:val="0"/>
          <w:sz w:val="28"/>
          <w:szCs w:val="28"/>
          <w:lang w:val="en-US" w:eastAsia="en-US" w:bidi="en-US"/>
        </w:rPr>
        <w:t>c</w:t>
      </w:r>
      <w:r w:rsidRPr="005B76F6">
        <w:rPr>
          <w:rFonts w:ascii="Times New Roman" w:eastAsia="Times New Roman" w:hAnsi="Times New Roman" w:cs="Times New Roman"/>
          <w:color w:val="000000"/>
          <w:kern w:val="0"/>
          <w:sz w:val="28"/>
          <w:szCs w:val="28"/>
          <w:lang w:eastAsia="en-US" w:bidi="en-US"/>
        </w:rPr>
        <w:t xml:space="preserve"> </w:t>
      </w:r>
      <w:r w:rsidRPr="005B76F6">
        <w:rPr>
          <w:rFonts w:ascii="Times New Roman" w:eastAsia="Times New Roman" w:hAnsi="Times New Roman" w:cs="Times New Roman"/>
          <w:color w:val="000000"/>
          <w:kern w:val="0"/>
          <w:sz w:val="28"/>
          <w:szCs w:val="28"/>
          <w:lang w:eastAsia="ru-RU" w:bidi="ru-RU"/>
        </w:rPr>
        <w:t>международным участием</w:t>
      </w:r>
    </w:p>
    <w:p w:rsidR="005B76F6" w:rsidRPr="005B76F6" w:rsidRDefault="005B76F6" w:rsidP="005B76F6">
      <w:pPr>
        <w:tabs>
          <w:tab w:val="clear" w:pos="709"/>
          <w:tab w:val="left" w:pos="69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«Нефтегазовый комплекс: проблемы и инновации» (г. Самара, 2018 г.); IV Всероссийской конференции «Химия и химическая технология: достижения и перспективы» (г. Кемерово, 2018 г.); Международной научной конференции «Горизонты и перспективы нефтехимии и органического синтеза (г. Уфа, 2018 г.); VIII Международной научной конференции «Наукоемкие технологии в решении проблем нефтегазового комплекса» (г. Уфа, 2018 г.);</w:t>
      </w:r>
      <w:r w:rsidRPr="005B76F6">
        <w:rPr>
          <w:rFonts w:ascii="Times New Roman" w:eastAsia="Times New Roman" w:hAnsi="Times New Roman" w:cs="Times New Roman"/>
          <w:color w:val="000000"/>
          <w:kern w:val="0"/>
          <w:sz w:val="28"/>
          <w:szCs w:val="28"/>
          <w:lang w:eastAsia="ru-RU" w:bidi="ru-RU"/>
        </w:rPr>
        <w:tab/>
        <w:t>69-й научно-технической</w:t>
      </w:r>
    </w:p>
    <w:p w:rsidR="005B76F6" w:rsidRPr="005B76F6" w:rsidRDefault="005B76F6" w:rsidP="005B76F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B76F6">
        <w:rPr>
          <w:rFonts w:ascii="Times New Roman" w:eastAsia="Times New Roman" w:hAnsi="Times New Roman" w:cs="Times New Roman"/>
          <w:color w:val="000000"/>
          <w:kern w:val="0"/>
          <w:sz w:val="28"/>
          <w:szCs w:val="28"/>
          <w:lang w:eastAsia="ru-RU" w:bidi="ru-RU"/>
        </w:rPr>
        <w:t>конференции студентов, аспирантов и молодых ученых УГНТУ (г. Уфа, 2018 г.); Международной научно-технической конференции «Современные технологии в нефтегазовом деле - 2019» (г. Октябрьский, 2019 г.).</w:t>
      </w:r>
    </w:p>
    <w:p w:rsidR="005B76F6" w:rsidRPr="005B76F6" w:rsidRDefault="005B76F6" w:rsidP="005B76F6">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Публикации.</w:t>
      </w:r>
    </w:p>
    <w:p w:rsidR="005B76F6" w:rsidRDefault="005B76F6" w:rsidP="005B76F6">
      <w:pPr>
        <w:rPr>
          <w:rFonts w:ascii="Arial Unicode MS" w:eastAsia="Arial Unicode MS" w:hAnsi="Arial Unicode MS" w:cs="Arial Unicode MS"/>
          <w:color w:val="000000"/>
          <w:kern w:val="0"/>
          <w:sz w:val="24"/>
          <w:szCs w:val="24"/>
          <w:lang w:eastAsia="ru-RU" w:bidi="ru-RU"/>
        </w:rPr>
      </w:pPr>
      <w:r w:rsidRPr="005B76F6">
        <w:rPr>
          <w:rFonts w:ascii="Arial Unicode MS" w:eastAsia="Arial Unicode MS" w:hAnsi="Arial Unicode MS" w:cs="Arial Unicode MS"/>
          <w:color w:val="000000"/>
          <w:kern w:val="0"/>
          <w:sz w:val="24"/>
          <w:szCs w:val="24"/>
          <w:lang w:eastAsia="ru-RU" w:bidi="ru-RU"/>
        </w:rPr>
        <w:t xml:space="preserve">Основные результаты работы опубликованы в 20 трудах, из них </w:t>
      </w:r>
      <w:r w:rsidRPr="005B76F6">
        <w:rPr>
          <w:rFonts w:ascii="Times New Roman" w:eastAsia="Arial Unicode MS" w:hAnsi="Times New Roman" w:cs="Times New Roman"/>
          <w:color w:val="000000"/>
          <w:kern w:val="0"/>
          <w:sz w:val="28"/>
          <w:szCs w:val="28"/>
          <w:lang w:eastAsia="ru-RU" w:bidi="ru-RU"/>
        </w:rPr>
        <w:t>8</w:t>
      </w:r>
      <w:r w:rsidRPr="005B76F6">
        <w:rPr>
          <w:rFonts w:ascii="Arial Unicode MS" w:eastAsia="Arial Unicode MS" w:hAnsi="Arial Unicode MS" w:cs="Arial Unicode MS"/>
          <w:color w:val="000000"/>
          <w:kern w:val="0"/>
          <w:sz w:val="24"/>
          <w:szCs w:val="24"/>
          <w:lang w:eastAsia="ru-RU" w:bidi="ru-RU"/>
        </w:rPr>
        <w:t xml:space="preserve"> статей в научных изданиях, входящих в перечень ВАК РФ, 1 статья в журнале, индексируемом в международной базе </w:t>
      </w:r>
      <w:r w:rsidRPr="005B76F6">
        <w:rPr>
          <w:rFonts w:ascii="Arial Unicode MS" w:eastAsia="Arial Unicode MS" w:hAnsi="Arial Unicode MS" w:cs="Arial Unicode MS"/>
          <w:color w:val="000000"/>
          <w:kern w:val="0"/>
          <w:sz w:val="24"/>
          <w:szCs w:val="24"/>
          <w:lang w:val="en-US" w:eastAsia="en-US" w:bidi="en-US"/>
        </w:rPr>
        <w:t>Scopus</w:t>
      </w:r>
      <w:r w:rsidRPr="005B76F6">
        <w:rPr>
          <w:rFonts w:ascii="Arial Unicode MS" w:eastAsia="Arial Unicode MS" w:hAnsi="Arial Unicode MS" w:cs="Arial Unicode MS"/>
          <w:color w:val="000000"/>
          <w:kern w:val="0"/>
          <w:sz w:val="24"/>
          <w:szCs w:val="24"/>
          <w:lang w:eastAsia="en-US" w:bidi="en-US"/>
        </w:rPr>
        <w:t xml:space="preserve">, </w:t>
      </w:r>
      <w:r w:rsidRPr="005B76F6">
        <w:rPr>
          <w:rFonts w:ascii="Times New Roman" w:eastAsia="Arial Unicode MS" w:hAnsi="Times New Roman" w:cs="Times New Roman"/>
          <w:color w:val="000000"/>
          <w:kern w:val="0"/>
          <w:sz w:val="28"/>
          <w:szCs w:val="28"/>
          <w:lang w:eastAsia="ru-RU" w:bidi="ru-RU"/>
        </w:rPr>
        <w:t>6</w:t>
      </w:r>
      <w:r w:rsidRPr="005B76F6">
        <w:rPr>
          <w:rFonts w:ascii="Arial Unicode MS" w:eastAsia="Arial Unicode MS" w:hAnsi="Arial Unicode MS" w:cs="Arial Unicode MS"/>
          <w:color w:val="000000"/>
          <w:kern w:val="0"/>
          <w:sz w:val="24"/>
          <w:szCs w:val="24"/>
          <w:lang w:eastAsia="ru-RU" w:bidi="ru-RU"/>
        </w:rPr>
        <w:t xml:space="preserve"> работ в материалах научных конференций, 4 патента и 1 свидетельство на программу ЭВМ.</w:t>
      </w:r>
    </w:p>
    <w:p w:rsidR="005B76F6" w:rsidRDefault="005B76F6" w:rsidP="005B76F6">
      <w:pPr>
        <w:rPr>
          <w:rFonts w:ascii="Arial Unicode MS" w:eastAsia="Arial Unicode MS" w:hAnsi="Arial Unicode MS" w:cs="Arial Unicode MS"/>
          <w:color w:val="000000"/>
          <w:kern w:val="0"/>
          <w:sz w:val="24"/>
          <w:szCs w:val="24"/>
          <w:lang w:eastAsia="ru-RU" w:bidi="ru-RU"/>
        </w:rPr>
      </w:pPr>
    </w:p>
    <w:p w:rsidR="005B76F6" w:rsidRDefault="005B76F6" w:rsidP="005B76F6">
      <w:pPr>
        <w:rPr>
          <w:rFonts w:ascii="Arial Unicode MS" w:eastAsia="Arial Unicode MS" w:hAnsi="Arial Unicode MS" w:cs="Arial Unicode MS"/>
          <w:color w:val="000000"/>
          <w:kern w:val="0"/>
          <w:sz w:val="24"/>
          <w:szCs w:val="24"/>
          <w:lang w:eastAsia="ru-RU" w:bidi="ru-RU"/>
        </w:rPr>
      </w:pPr>
    </w:p>
    <w:p w:rsidR="005B76F6" w:rsidRPr="005B76F6" w:rsidRDefault="005B76F6" w:rsidP="005B76F6">
      <w:pPr>
        <w:keepNext/>
        <w:keepLines/>
        <w:tabs>
          <w:tab w:val="clear" w:pos="709"/>
        </w:tabs>
        <w:suppressAutoHyphens w:val="0"/>
        <w:spacing w:after="0" w:line="480" w:lineRule="exact"/>
        <w:ind w:firstLine="0"/>
        <w:jc w:val="center"/>
        <w:outlineLvl w:val="3"/>
        <w:rPr>
          <w:rFonts w:ascii="Times New Roman" w:eastAsia="Times New Roman" w:hAnsi="Times New Roman" w:cs="Times New Roman"/>
          <w:b/>
          <w:bCs/>
          <w:kern w:val="0"/>
          <w:sz w:val="28"/>
          <w:szCs w:val="28"/>
          <w:lang w:eastAsia="ru-RU" w:bidi="ru-RU"/>
        </w:rPr>
      </w:pPr>
      <w:bookmarkStart w:id="3" w:name="bookmark51"/>
      <w:r w:rsidRPr="005B76F6">
        <w:rPr>
          <w:rFonts w:ascii="Times New Roman" w:eastAsia="Times New Roman" w:hAnsi="Times New Roman" w:cs="Times New Roman"/>
          <w:b/>
          <w:bCs/>
          <w:color w:val="000000"/>
          <w:kern w:val="0"/>
          <w:sz w:val="28"/>
          <w:szCs w:val="28"/>
          <w:lang w:eastAsia="ru-RU" w:bidi="ru-RU"/>
        </w:rPr>
        <w:t>ЗАКЛЮЧЕНИЕ</w:t>
      </w:r>
      <w:bookmarkEnd w:id="3"/>
    </w:p>
    <w:p w:rsidR="005B76F6" w:rsidRPr="005B76F6" w:rsidRDefault="005B76F6" w:rsidP="005B76F6">
      <w:pPr>
        <w:numPr>
          <w:ilvl w:val="0"/>
          <w:numId w:val="44"/>
        </w:numPr>
        <w:tabs>
          <w:tab w:val="clear" w:pos="709"/>
          <w:tab w:val="left" w:pos="1093"/>
        </w:tabs>
        <w:suppressAutoHyphens w:val="0"/>
        <w:spacing w:after="0" w:line="480" w:lineRule="exact"/>
        <w:ind w:firstLine="740"/>
        <w:jc w:val="left"/>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Применение в реакторе гидрирования ацетиленовых углеводородов газораспределительных насадок с малым диапазоном изменения перепада давления (не более 10% от среднего значения) обеспечивает формирование однородного мелкопузырькового режима течения паро-газо-жидкостного потока реакционной смеси, что позволяет уменьшить потери бутадиена с 3,1 до 2,4 %, сократить мольное соотношение водород/(ацетиленовые углеводороды) с 6,8 до 3,8.</w:t>
      </w:r>
    </w:p>
    <w:p w:rsidR="005B76F6" w:rsidRPr="005B76F6" w:rsidRDefault="005B76F6" w:rsidP="005B76F6">
      <w:pPr>
        <w:numPr>
          <w:ilvl w:val="0"/>
          <w:numId w:val="44"/>
        </w:numPr>
        <w:tabs>
          <w:tab w:val="clear" w:pos="709"/>
          <w:tab w:val="left" w:pos="1296"/>
        </w:tabs>
        <w:suppressAutoHyphens w:val="0"/>
        <w:spacing w:after="0" w:line="480" w:lineRule="exact"/>
        <w:ind w:firstLine="740"/>
        <w:jc w:val="left"/>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В промышленных условиях, характеризующихся изменением температуры циркулирующего медно-аммиачного раствора в значительном диапазоне, окислительно-восстановительный потенциал раствора следует поддерживать в интервале 435 - 525 мВ, что обеспечивает стабильность раствора против выпадения одновалентной меди в интервале концентраций 2,65 - 2,81 г- моль/дм и двухвалентной меди в интервале 0,21 - 0,32 г-моль/дм .</w:t>
      </w:r>
    </w:p>
    <w:p w:rsidR="005B76F6" w:rsidRPr="005B76F6" w:rsidRDefault="005B76F6" w:rsidP="005B76F6">
      <w:pPr>
        <w:numPr>
          <w:ilvl w:val="0"/>
          <w:numId w:val="44"/>
        </w:numPr>
        <w:tabs>
          <w:tab w:val="clear" w:pos="709"/>
          <w:tab w:val="left" w:pos="1093"/>
        </w:tabs>
        <w:suppressAutoHyphens w:val="0"/>
        <w:spacing w:after="0" w:line="480" w:lineRule="exact"/>
        <w:ind w:firstLine="740"/>
        <w:jc w:val="left"/>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При подготовке поглотительного медно-аммиачного раствора ввод аммиака в циркулирующий раствор необходимо осуществлять равномерно-</w:t>
      </w:r>
    </w:p>
    <w:p w:rsidR="005B76F6" w:rsidRPr="005B76F6" w:rsidRDefault="005B76F6" w:rsidP="005B76F6">
      <w:pPr>
        <w:tabs>
          <w:tab w:val="clear" w:pos="709"/>
        </w:tabs>
        <w:suppressAutoHyphens w:val="0"/>
        <w:spacing w:after="0" w:line="80" w:lineRule="exact"/>
        <w:ind w:left="8360" w:firstLine="0"/>
        <w:jc w:val="left"/>
        <w:rPr>
          <w:rFonts w:ascii="Bookman Old Style" w:eastAsia="Bookman Old Style" w:hAnsi="Bookman Old Style" w:cs="Bookman Old Style"/>
          <w:kern w:val="0"/>
          <w:sz w:val="8"/>
          <w:szCs w:val="8"/>
          <w:lang w:eastAsia="ru-RU" w:bidi="ru-RU"/>
        </w:rPr>
      </w:pPr>
      <w:r w:rsidRPr="005B76F6">
        <w:rPr>
          <w:rFonts w:ascii="Bookman Old Style" w:eastAsia="Bookman Old Style" w:hAnsi="Bookman Old Style" w:cs="Bookman Old Style"/>
          <w:color w:val="000000"/>
          <w:kern w:val="0"/>
          <w:sz w:val="8"/>
          <w:szCs w:val="8"/>
          <w:lang w:eastAsia="ru-RU" w:bidi="ru-RU"/>
        </w:rPr>
        <w:t>-5</w:t>
      </w:r>
    </w:p>
    <w:p w:rsidR="005B76F6" w:rsidRPr="005B76F6" w:rsidRDefault="005B76F6" w:rsidP="005B76F6">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дозировано. При расходе циркулирующего МАР 150-200 м /час, время дозирования 10 м</w:t>
      </w:r>
      <w:r w:rsidRPr="005B76F6">
        <w:rPr>
          <w:rFonts w:ascii="Times New Roman" w:eastAsia="Times New Roman" w:hAnsi="Times New Roman" w:cs="Times New Roman"/>
          <w:b/>
          <w:bCs/>
          <w:color w:val="000000"/>
          <w:kern w:val="0"/>
          <w:sz w:val="28"/>
          <w:szCs w:val="28"/>
          <w:vertAlign w:val="superscript"/>
          <w:lang w:eastAsia="ru-RU" w:bidi="ru-RU"/>
        </w:rPr>
        <w:t>3</w:t>
      </w:r>
      <w:r w:rsidRPr="005B76F6">
        <w:rPr>
          <w:rFonts w:ascii="Times New Roman" w:eastAsia="Times New Roman" w:hAnsi="Times New Roman" w:cs="Times New Roman"/>
          <w:b/>
          <w:bCs/>
          <w:color w:val="000000"/>
          <w:kern w:val="0"/>
          <w:sz w:val="28"/>
          <w:szCs w:val="28"/>
          <w:lang w:eastAsia="ru-RU" w:bidi="ru-RU"/>
        </w:rPr>
        <w:t xml:space="preserve"> аммиака должно составлять не менее 3 часов.</w:t>
      </w:r>
    </w:p>
    <w:p w:rsidR="005B76F6" w:rsidRPr="005B76F6" w:rsidRDefault="005B76F6" w:rsidP="005B76F6">
      <w:pPr>
        <w:numPr>
          <w:ilvl w:val="0"/>
          <w:numId w:val="44"/>
        </w:numPr>
        <w:tabs>
          <w:tab w:val="clear" w:pos="709"/>
          <w:tab w:val="left" w:pos="1093"/>
        </w:tabs>
        <w:suppressAutoHyphens w:val="0"/>
        <w:spacing w:after="0" w:line="480" w:lineRule="exact"/>
        <w:ind w:firstLine="740"/>
        <w:jc w:val="left"/>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При регенерации циркулирующего МАР использование в качестве верхнего адсорбирующего слоя таурита сланцевого ТС-Д позволяет уменьшить потребление дорогостоящего активного угля АГ-3. Регенерацию по данной технологии можно проводить как в одном, так и в двух или трех фильтрах; соотношение таурита сланцевого и активного угля составит от 1,15 : 1 до 7,5 : 1.</w:t>
      </w:r>
    </w:p>
    <w:p w:rsidR="005B76F6" w:rsidRPr="005B76F6" w:rsidRDefault="005B76F6" w:rsidP="005B76F6">
      <w:pPr>
        <w:numPr>
          <w:ilvl w:val="0"/>
          <w:numId w:val="44"/>
        </w:numPr>
        <w:tabs>
          <w:tab w:val="clear" w:pos="709"/>
          <w:tab w:val="left" w:pos="1093"/>
        </w:tabs>
        <w:suppressAutoHyphens w:val="0"/>
        <w:spacing w:after="0" w:line="480" w:lineRule="exact"/>
        <w:ind w:firstLine="740"/>
        <w:jc w:val="left"/>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Организация жидкостного орошения колонны хемосорбции смесью МАР и бутан-бутиленовой фракции позволяет повысить сорбционную эффективность колонны. Применение трубчатого турбулентного аппарата обеспечивает высокую степень перемешивания потоков, способствует формированию дисперсной системы, близкой к равновесной.</w:t>
      </w:r>
    </w:p>
    <w:p w:rsidR="005B76F6" w:rsidRPr="005B76F6" w:rsidRDefault="005B76F6" w:rsidP="005B76F6">
      <w:pPr>
        <w:numPr>
          <w:ilvl w:val="0"/>
          <w:numId w:val="44"/>
        </w:numPr>
        <w:tabs>
          <w:tab w:val="clear" w:pos="709"/>
          <w:tab w:val="left" w:pos="1070"/>
        </w:tabs>
        <w:suppressAutoHyphens w:val="0"/>
        <w:spacing w:after="0" w:line="480" w:lineRule="exact"/>
        <w:ind w:firstLine="760"/>
        <w:jc w:val="left"/>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Работа по схеме с предварительной двухступенчатой десорбцией бутан</w:t>
      </w:r>
      <w:r w:rsidRPr="005B76F6">
        <w:rPr>
          <w:rFonts w:ascii="Times New Roman" w:eastAsia="Times New Roman" w:hAnsi="Times New Roman" w:cs="Times New Roman"/>
          <w:b/>
          <w:bCs/>
          <w:color w:val="000000"/>
          <w:kern w:val="0"/>
          <w:sz w:val="28"/>
          <w:szCs w:val="28"/>
          <w:lang w:eastAsia="ru-RU" w:bidi="ru-RU"/>
        </w:rPr>
        <w:softHyphen/>
        <w:t>бутадиеновых фракций из насыщенного МАР с подачей в низ колонны хемосорбции отгона второй ступени преддесорбции позволяет исключить использование товарного бутадиена в качестве рецикла для укрепления кубовой части колонны, снизить тепловую нагрузку на стадии хемосорбции на 26 %, уменьшить циркуляцию МАР.</w:t>
      </w:r>
    </w:p>
    <w:p w:rsidR="005B76F6" w:rsidRPr="005B76F6" w:rsidRDefault="005B76F6" w:rsidP="005B76F6">
      <w:pPr>
        <w:numPr>
          <w:ilvl w:val="0"/>
          <w:numId w:val="44"/>
        </w:numPr>
        <w:tabs>
          <w:tab w:val="clear" w:pos="709"/>
          <w:tab w:val="left" w:pos="1100"/>
        </w:tabs>
        <w:suppressAutoHyphens w:val="0"/>
        <w:spacing w:after="0" w:line="480" w:lineRule="exact"/>
        <w:ind w:firstLine="760"/>
        <w:jc w:val="left"/>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По степени влияния на расходный коэффициент бутадиена, стадии процесса выделения бутадиена из ББФ хемосорбцией можно расположить в ряд: гидрирование &gt; хемосорбция &gt; очистка ББФ ректификацией.</w:t>
      </w:r>
    </w:p>
    <w:p w:rsidR="005B76F6" w:rsidRPr="005B76F6" w:rsidRDefault="005B76F6" w:rsidP="005B76F6">
      <w:pPr>
        <w:tabs>
          <w:tab w:val="clear" w:pos="709"/>
        </w:tabs>
        <w:suppressAutoHyphens w:val="0"/>
        <w:spacing w:after="0" w:line="480" w:lineRule="exact"/>
        <w:ind w:firstLine="760"/>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Разработан программный комплекс расчета расходного коэффициента бутадиена, позволяющий:</w:t>
      </w:r>
    </w:p>
    <w:p w:rsidR="005B76F6" w:rsidRPr="005B76F6" w:rsidRDefault="005B76F6" w:rsidP="005B76F6">
      <w:pPr>
        <w:tabs>
          <w:tab w:val="clear" w:pos="709"/>
        </w:tabs>
        <w:suppressAutoHyphens w:val="0"/>
        <w:spacing w:after="0" w:line="480" w:lineRule="exact"/>
        <w:ind w:firstLine="760"/>
        <w:rPr>
          <w:rFonts w:ascii="Times New Roman" w:eastAsia="Times New Roman" w:hAnsi="Times New Roman" w:cs="Times New Roman"/>
          <w:b/>
          <w:bCs/>
          <w:kern w:val="0"/>
          <w:sz w:val="28"/>
          <w:szCs w:val="28"/>
          <w:lang w:eastAsia="ru-RU" w:bidi="ru-RU"/>
        </w:rPr>
      </w:pPr>
      <w:r w:rsidRPr="005B76F6">
        <w:rPr>
          <w:rFonts w:ascii="Times New Roman" w:eastAsia="Times New Roman" w:hAnsi="Times New Roman" w:cs="Times New Roman"/>
          <w:b/>
          <w:bCs/>
          <w:color w:val="000000"/>
          <w:kern w:val="0"/>
          <w:sz w:val="28"/>
          <w:szCs w:val="28"/>
          <w:lang w:eastAsia="ru-RU" w:bidi="ru-RU"/>
        </w:rPr>
        <w:t>- проводить анализ деятельности производства по фактическим значениям аналитического контроля, расходам сырьевых и продуктовых потоков;</w:t>
      </w:r>
    </w:p>
    <w:p w:rsidR="005B76F6" w:rsidRPr="005B76F6" w:rsidRDefault="005B76F6" w:rsidP="005B76F6">
      <w:r w:rsidRPr="005B76F6">
        <w:rPr>
          <w:rFonts w:ascii="Arial Unicode MS" w:eastAsia="Arial Unicode MS" w:hAnsi="Arial Unicode MS" w:cs="Arial Unicode MS"/>
          <w:color w:val="000000"/>
          <w:kern w:val="0"/>
          <w:sz w:val="24"/>
          <w:szCs w:val="24"/>
          <w:lang w:eastAsia="ru-RU" w:bidi="ru-RU"/>
        </w:rPr>
        <w:t>- разработать плановые нормы расхода при использовании сырья другого состава, заданной марки получаемого бутадиена.</w:t>
      </w:r>
    </w:p>
    <w:sectPr w:rsidR="005B76F6" w:rsidRPr="005B76F6" w:rsidSect="006245BA">
      <w:headerReference w:type="default" r:id="rId12"/>
      <w:footerReference w:type="even" r:id="rId13"/>
      <w:footerReference w:type="default" r:id="rId14"/>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B76F6" w:rsidRPr="005B76F6">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F6" w:rsidRDefault="005B76F6">
    <w:pPr>
      <w:rPr>
        <w:sz w:val="2"/>
        <w:szCs w:val="2"/>
      </w:rPr>
    </w:pPr>
    <w:r w:rsidRPr="00237120">
      <w:rPr>
        <w:sz w:val="24"/>
        <w:szCs w:val="24"/>
        <w:lang w:bidi="ru-RU"/>
      </w:rPr>
      <w:pict>
        <v:shapetype id="_x0000_t202" coordsize="21600,21600" o:spt="202" path="m,l,21600r21600,l21600,xe">
          <v:stroke joinstyle="miter"/>
          <v:path gradientshapeok="t" o:connecttype="rect"/>
        </v:shapetype>
        <v:shape id="_x0000_s610186" type="#_x0000_t202" style="position:absolute;left:0;text-align:left;margin-left:322.5pt;margin-top:38.7pt;width:6.25pt;height:9.6pt;z-index:-251614208;mso-wrap-style:none;mso-wrap-distance-left:5pt;mso-wrap-distance-right:5pt;mso-position-horizontal-relative:page;mso-position-vertical-relative:page" wrapcoords="0 0" filled="f" stroked="f">
          <v:textbox style="mso-fit-shape-to-text:t" inset="0,0,0,0">
            <w:txbxContent>
              <w:p w:rsidR="005B76F6" w:rsidRDefault="005B76F6">
                <w:pPr>
                  <w:spacing w:line="240" w:lineRule="auto"/>
                </w:pPr>
                <w:fldSimple w:instr=" PAGE \* MERGEFORMAT ">
                  <w:r w:rsidRPr="009A3B55">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F6" w:rsidRDefault="005B76F6">
    <w:pPr>
      <w:rPr>
        <w:sz w:val="2"/>
        <w:szCs w:val="2"/>
      </w:rPr>
    </w:pPr>
    <w:r w:rsidRPr="00237120">
      <w:rPr>
        <w:sz w:val="24"/>
        <w:szCs w:val="24"/>
        <w:lang w:bidi="ru-RU"/>
      </w:rPr>
      <w:pict>
        <v:shapetype id="_x0000_t202" coordsize="21600,21600" o:spt="202" path="m,l,21600r21600,l21600,xe">
          <v:stroke joinstyle="miter"/>
          <v:path gradientshapeok="t" o:connecttype="rect"/>
        </v:shapetype>
        <v:shape id="_x0000_s610187" type="#_x0000_t202" style="position:absolute;left:0;text-align:left;margin-left:322.5pt;margin-top:38.7pt;width:6.25pt;height:9.6pt;z-index:-251613184;mso-wrap-style:none;mso-wrap-distance-left:5pt;mso-wrap-distance-right:5pt;mso-position-horizontal-relative:page;mso-position-vertical-relative:page" wrapcoords="0 0" filled="f" stroked="f">
          <v:textbox style="mso-fit-shape-to-text:t" inset="0,0,0,0">
            <w:txbxContent>
              <w:p w:rsidR="005B76F6" w:rsidRDefault="005B76F6">
                <w:pPr>
                  <w:spacing w:line="240" w:lineRule="auto"/>
                </w:pPr>
                <w:fldSimple w:instr=" PAGE \* MERGEFORMAT ">
                  <w:r w:rsidRPr="005B76F6">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F6" w:rsidRDefault="005B76F6">
    <w:pPr>
      <w:rPr>
        <w:sz w:val="2"/>
        <w:szCs w:val="2"/>
      </w:rPr>
    </w:pPr>
    <w:r w:rsidRPr="00237120">
      <w:rPr>
        <w:sz w:val="24"/>
        <w:szCs w:val="24"/>
        <w:lang w:bidi="ru-RU"/>
      </w:rPr>
      <w:pict>
        <v:shapetype id="_x0000_t202" coordsize="21600,21600" o:spt="202" path="m,l,21600r21600,l21600,xe">
          <v:stroke joinstyle="miter"/>
          <v:path gradientshapeok="t" o:connecttype="rect"/>
        </v:shapetype>
        <v:shape id="_x0000_s610188" type="#_x0000_t202" style="position:absolute;left:0;text-align:left;margin-left:158.6pt;margin-top:78.75pt;width:314.65pt;height:9.1pt;z-index:-251612160;mso-wrap-style:none;mso-wrap-distance-left:5pt;mso-wrap-distance-right:5pt;mso-position-horizontal-relative:page;mso-position-vertical-relative:page" wrapcoords="0 0" filled="f" stroked="f">
          <v:textbox style="mso-fit-shape-to-text:t" inset="0,0,0,0">
            <w:txbxContent>
              <w:p w:rsidR="005B76F6" w:rsidRDefault="005B76F6">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BD07C0"/>
    <w:multiLevelType w:val="multilevel"/>
    <w:tmpl w:val="1518A85E"/>
    <w:lvl w:ilvl="0">
      <w:start w:val="2"/>
      <w:numFmt w:val="decimal"/>
      <w:lvlText w:val="5.1.%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1765B1"/>
    <w:multiLevelType w:val="multilevel"/>
    <w:tmpl w:val="E6446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EC0ADD"/>
    <w:multiLevelType w:val="multilevel"/>
    <w:tmpl w:val="CA4EC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006C6"/>
    <w:multiLevelType w:val="multilevel"/>
    <w:tmpl w:val="2D7A0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87A2D7B"/>
    <w:multiLevelType w:val="multilevel"/>
    <w:tmpl w:val="277AD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FF2804"/>
    <w:multiLevelType w:val="multilevel"/>
    <w:tmpl w:val="9DF42846"/>
    <w:lvl w:ilvl="0">
      <w:start w:val="1"/>
      <w:numFmt w:val="decimal"/>
      <w:lvlText w:val="2.4.%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FC5487"/>
    <w:multiLevelType w:val="multilevel"/>
    <w:tmpl w:val="E9AE75B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1C7B4210"/>
    <w:multiLevelType w:val="multilevel"/>
    <w:tmpl w:val="2CE6D06E"/>
    <w:lvl w:ilvl="0">
      <w:start w:val="5"/>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F157C6"/>
    <w:multiLevelType w:val="multilevel"/>
    <w:tmpl w:val="2AB2757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FB292D"/>
    <w:multiLevelType w:val="multilevel"/>
    <w:tmpl w:val="B346F406"/>
    <w:lvl w:ilvl="0">
      <w:start w:val="6"/>
      <w:numFmt w:val="decimal"/>
      <w:lvlText w:val="4.%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926239"/>
    <w:multiLevelType w:val="multilevel"/>
    <w:tmpl w:val="F2CE4E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4D94F7A"/>
    <w:multiLevelType w:val="multilevel"/>
    <w:tmpl w:val="6E985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C0300"/>
    <w:multiLevelType w:val="multilevel"/>
    <w:tmpl w:val="7A323C6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AB4D8B"/>
    <w:multiLevelType w:val="multilevel"/>
    <w:tmpl w:val="3086E37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D84FA9"/>
    <w:multiLevelType w:val="multilevel"/>
    <w:tmpl w:val="9BDCBA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E3124F"/>
    <w:multiLevelType w:val="multilevel"/>
    <w:tmpl w:val="03343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F15FE3"/>
    <w:multiLevelType w:val="multilevel"/>
    <w:tmpl w:val="BDE8E02A"/>
    <w:lvl w:ilvl="0">
      <w:start w:val="3"/>
      <w:numFmt w:val="decimal"/>
      <w:lvlText w:val="5.%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2C6A97"/>
    <w:multiLevelType w:val="multilevel"/>
    <w:tmpl w:val="E926FB8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541B3B"/>
    <w:multiLevelType w:val="multilevel"/>
    <w:tmpl w:val="D4624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F61C8A"/>
    <w:multiLevelType w:val="multilevel"/>
    <w:tmpl w:val="1E7A981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A7355A"/>
    <w:multiLevelType w:val="multilevel"/>
    <w:tmpl w:val="FEF6CD98"/>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5E1B3F"/>
    <w:multiLevelType w:val="multilevel"/>
    <w:tmpl w:val="E5EE6A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AD5430"/>
    <w:multiLevelType w:val="multilevel"/>
    <w:tmpl w:val="014E79AC"/>
    <w:lvl w:ilvl="0">
      <w:start w:val="2"/>
      <w:numFmt w:val="decimal"/>
      <w:lvlText w:val="3.3.%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887349"/>
    <w:multiLevelType w:val="multilevel"/>
    <w:tmpl w:val="10502B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E6603F"/>
    <w:multiLevelType w:val="multilevel"/>
    <w:tmpl w:val="337C6D44"/>
    <w:lvl w:ilvl="0">
      <w:start w:val="1"/>
      <w:numFmt w:val="decimal"/>
      <w:lvlText w:val="5.2.%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8121E7"/>
    <w:multiLevelType w:val="multilevel"/>
    <w:tmpl w:val="83DE769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6C6EBE"/>
    <w:multiLevelType w:val="multilevel"/>
    <w:tmpl w:val="9974A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54771569"/>
    <w:multiLevelType w:val="multilevel"/>
    <w:tmpl w:val="31807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7633987"/>
    <w:multiLevelType w:val="multilevel"/>
    <w:tmpl w:val="83D63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B3397B"/>
    <w:multiLevelType w:val="multilevel"/>
    <w:tmpl w:val="D9960056"/>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D27184"/>
    <w:multiLevelType w:val="multilevel"/>
    <w:tmpl w:val="2DD8F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3">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4">
    <w:nsid w:val="6B4D3BE9"/>
    <w:multiLevelType w:val="multilevel"/>
    <w:tmpl w:val="3850A9A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FB7944"/>
    <w:multiLevelType w:val="multilevel"/>
    <w:tmpl w:val="D1E03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7">
    <w:nsid w:val="74425AA1"/>
    <w:multiLevelType w:val="multilevel"/>
    <w:tmpl w:val="3048A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56F6BEC"/>
    <w:multiLevelType w:val="multilevel"/>
    <w:tmpl w:val="0AA4AB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FE5D8F"/>
    <w:multiLevelType w:val="multilevel"/>
    <w:tmpl w:val="FB08F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BE43D0"/>
    <w:multiLevelType w:val="multilevel"/>
    <w:tmpl w:val="6414A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740D6"/>
    <w:multiLevelType w:val="multilevel"/>
    <w:tmpl w:val="46D6F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787B9F"/>
    <w:multiLevelType w:val="multilevel"/>
    <w:tmpl w:val="BB4E133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05"/>
  </w:num>
  <w:num w:numId="8">
    <w:abstractNumId w:val="84"/>
  </w:num>
  <w:num w:numId="9">
    <w:abstractNumId w:val="110"/>
  </w:num>
  <w:num w:numId="10">
    <w:abstractNumId w:val="94"/>
  </w:num>
  <w:num w:numId="11">
    <w:abstractNumId w:val="99"/>
  </w:num>
  <w:num w:numId="12">
    <w:abstractNumId w:val="100"/>
  </w:num>
  <w:num w:numId="13">
    <w:abstractNumId w:val="122"/>
  </w:num>
  <w:num w:numId="14">
    <w:abstractNumId w:val="103"/>
  </w:num>
  <w:num w:numId="15">
    <w:abstractNumId w:val="97"/>
  </w:num>
  <w:num w:numId="16">
    <w:abstractNumId w:val="101"/>
  </w:num>
  <w:num w:numId="17">
    <w:abstractNumId w:val="114"/>
  </w:num>
  <w:num w:numId="18">
    <w:abstractNumId w:val="117"/>
  </w:num>
  <w:num w:numId="19">
    <w:abstractNumId w:val="98"/>
  </w:num>
  <w:num w:numId="20">
    <w:abstractNumId w:val="82"/>
  </w:num>
  <w:num w:numId="21">
    <w:abstractNumId w:val="121"/>
  </w:num>
  <w:num w:numId="22">
    <w:abstractNumId w:val="90"/>
  </w:num>
  <w:num w:numId="23">
    <w:abstractNumId w:val="115"/>
  </w:num>
  <w:num w:numId="24">
    <w:abstractNumId w:val="77"/>
  </w:num>
  <w:num w:numId="25">
    <w:abstractNumId w:val="95"/>
  </w:num>
  <w:num w:numId="26">
    <w:abstractNumId w:val="108"/>
  </w:num>
  <w:num w:numId="27">
    <w:abstractNumId w:val="92"/>
  </w:num>
  <w:num w:numId="28">
    <w:abstractNumId w:val="83"/>
  </w:num>
  <w:num w:numId="29">
    <w:abstractNumId w:val="102"/>
  </w:num>
  <w:num w:numId="30">
    <w:abstractNumId w:val="88"/>
  </w:num>
  <w:num w:numId="31">
    <w:abstractNumId w:val="72"/>
  </w:num>
  <w:num w:numId="32">
    <w:abstractNumId w:val="104"/>
  </w:num>
  <w:num w:numId="33">
    <w:abstractNumId w:val="96"/>
  </w:num>
  <w:num w:numId="34">
    <w:abstractNumId w:val="86"/>
  </w:num>
  <w:num w:numId="35">
    <w:abstractNumId w:val="106"/>
  </w:num>
  <w:num w:numId="36">
    <w:abstractNumId w:val="91"/>
  </w:num>
  <w:num w:numId="37">
    <w:abstractNumId w:val="111"/>
  </w:num>
  <w:num w:numId="38">
    <w:abstractNumId w:val="76"/>
  </w:num>
  <w:num w:numId="39">
    <w:abstractNumId w:val="87"/>
  </w:num>
  <w:num w:numId="40">
    <w:abstractNumId w:val="119"/>
  </w:num>
  <w:num w:numId="41">
    <w:abstractNumId w:val="120"/>
  </w:num>
  <w:num w:numId="42">
    <w:abstractNumId w:val="73"/>
  </w:num>
  <w:num w:numId="43">
    <w:abstractNumId w:val="109"/>
  </w:num>
  <w:num w:numId="44">
    <w:abstractNumId w:val="1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89"/>
    <o:shapelayout v:ext="edit">
      <o:idmap v:ext="edit" data="593,595"/>
    </o:shapelayout>
  </w:hdrShapeDefaults>
  <w:footnotePr>
    <w:numStart w:val="3"/>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75488-F944-40D5-8212-C3E06202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2022-02-11T10:56:00Z</dcterms:created>
  <dcterms:modified xsi:type="dcterms:W3CDTF">2022-02-11T10:56:00Z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