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ADE52" w14:textId="06D1DE5E" w:rsidR="006A1366" w:rsidRDefault="00A41BB9" w:rsidP="00A41BB9">
      <w:pPr>
        <w:rPr>
          <w:rFonts w:ascii="Verdana" w:hAnsi="Verdana"/>
          <w:b/>
          <w:bCs/>
          <w:color w:val="000000"/>
          <w:shd w:val="clear" w:color="auto" w:fill="FFFFFF"/>
        </w:rPr>
      </w:pPr>
      <w:r>
        <w:rPr>
          <w:rFonts w:ascii="Verdana" w:hAnsi="Verdana"/>
          <w:b/>
          <w:bCs/>
          <w:color w:val="000000"/>
          <w:shd w:val="clear" w:color="auto" w:fill="FFFFFF"/>
        </w:rPr>
        <w:t>Рачиба Ольга Олександрівна. Застосування ультразвуку в комплексному лікуванні хворих на есенціальну артеріальну гіпертензію : Дис... канд. наук: 14.01.33 - 2007.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41BB9" w:rsidRPr="00A41BB9" w14:paraId="3E80B1CF" w14:textId="77777777" w:rsidTr="00A41BB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1BB9" w:rsidRPr="00A41BB9" w14:paraId="4EBD616B" w14:textId="77777777">
              <w:trPr>
                <w:tblCellSpacing w:w="0" w:type="dxa"/>
              </w:trPr>
              <w:tc>
                <w:tcPr>
                  <w:tcW w:w="0" w:type="auto"/>
                  <w:vAlign w:val="center"/>
                  <w:hideMark/>
                </w:tcPr>
                <w:p w14:paraId="6A4CD4C1"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lastRenderedPageBreak/>
                    <w:t>Рачиба О.О. Застосування ультразвуку в комплексному лікуванні хворих на есенціальну артеріальну гіпертензію.</w:t>
                  </w:r>
                  <w:r w:rsidRPr="00A41BB9">
                    <w:rPr>
                      <w:rFonts w:ascii="Times New Roman" w:eastAsia="Times New Roman" w:hAnsi="Times New Roman" w:cs="Times New Roman"/>
                      <w:b/>
                      <w:bCs/>
                      <w:sz w:val="24"/>
                      <w:szCs w:val="24"/>
                    </w:rPr>
                    <w:t>- </w:t>
                  </w:r>
                  <w:r w:rsidRPr="00A41BB9">
                    <w:rPr>
                      <w:rFonts w:ascii="Times New Roman" w:eastAsia="Times New Roman" w:hAnsi="Times New Roman" w:cs="Times New Roman"/>
                      <w:sz w:val="24"/>
                      <w:szCs w:val="24"/>
                    </w:rPr>
                    <w:t>Рукопис.</w:t>
                  </w:r>
                </w:p>
                <w:p w14:paraId="208AD259"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b/>
                      <w:bCs/>
                      <w:i/>
                      <w:iCs/>
                      <w:sz w:val="24"/>
                      <w:szCs w:val="24"/>
                    </w:rPr>
                    <w:t>Дисертація на здобуття наукового ступеня кандидата медичних наук за спеціальністю 14.01.33. – медична реабілітація, фізіотерапія та курортологія. - Український науково-дослідний інститут медичної реабілітації та курортології МОЗ України, Одеса, 2007.</w:t>
                  </w:r>
                </w:p>
                <w:p w14:paraId="08B458D5"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t>Дисертацію присвячено вивченню можливості та клініко-гемодинамічному обґрунтуванню застосування УЗ в лікуванні хворих на есенціальну артеріальну гіпертензію.</w:t>
                  </w:r>
                </w:p>
                <w:p w14:paraId="09C09536"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t>У 204 хворих на АГ та за аналізом 50 архівних історій хвороби вивчені особливості вихідного клінічного та функціонального стану ССС, результатів їх традиційного медикаментозного лікування та фізіотерапії. Отримані нові дані про можливість та доцільність проведення процедури УЗ частотою 1 МГц на різні патогенетичні зони впливу та двічі на день, з‘ясовані оптимальні умови проведення процедури УЗ різних інтенсивністей, режимів модуляцій та зон впливу (за результатами разових проб). Наведені результати вивчення механізмів взаємовпливу розробленої методики УЗ та сучасних гіпотензивних медикаментозних препаратів. Розроблений спосіб поєднаної дії високочастотного УЗ потужністю 3 Вт/см</w:t>
                  </w:r>
                  <w:r w:rsidRPr="00A41BB9">
                    <w:rPr>
                      <w:rFonts w:ascii="Times New Roman" w:eastAsia="Times New Roman" w:hAnsi="Times New Roman" w:cs="Times New Roman"/>
                      <w:sz w:val="24"/>
                      <w:szCs w:val="24"/>
                      <w:vertAlign w:val="superscript"/>
                    </w:rPr>
                    <w:t>2 </w:t>
                  </w:r>
                  <w:r w:rsidRPr="00A41BB9">
                    <w:rPr>
                      <w:rFonts w:ascii="Times New Roman" w:eastAsia="Times New Roman" w:hAnsi="Times New Roman" w:cs="Times New Roman"/>
                      <w:sz w:val="24"/>
                      <w:szCs w:val="24"/>
                    </w:rPr>
                    <w:t>частотою модуляцій 100 Гц на паравертебральну зону шийно-грудного відділу хребта та зону проекції нирок двічі на день в поєднанні з -блокаторами та антагоністами кальцію.</w:t>
                  </w:r>
                </w:p>
                <w:p w14:paraId="3C28E413"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t>Доведено перевагу стаціонарного та санаторно-курортного лікування хворих на АГ, яке включає нову методику УЗ на тлі базисної стаціонарної та санаторно-курортної терапії.</w:t>
                  </w:r>
                </w:p>
                <w:p w14:paraId="07C2943B"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t>За даними аналізу безпосередніх та віддалених результатів відмічається підвищення ефективності лікування хворих на АГ за рахунок позитивної дії, покращення функціонального стану ССС, зменшення проявів поєднаної судинної патології, підвищення переносимості фізичних навантажень та зниження фармакотерапії. Обґрунтовані терміни повторного лікування.</w:t>
                  </w:r>
                </w:p>
              </w:tc>
            </w:tr>
          </w:tbl>
          <w:p w14:paraId="524F125F" w14:textId="77777777" w:rsidR="00A41BB9" w:rsidRPr="00A41BB9" w:rsidRDefault="00A41BB9" w:rsidP="00A41BB9">
            <w:pPr>
              <w:spacing w:after="0" w:line="240" w:lineRule="auto"/>
              <w:rPr>
                <w:rFonts w:ascii="Times New Roman" w:eastAsia="Times New Roman" w:hAnsi="Times New Roman" w:cs="Times New Roman"/>
                <w:sz w:val="24"/>
                <w:szCs w:val="24"/>
              </w:rPr>
            </w:pPr>
          </w:p>
        </w:tc>
      </w:tr>
      <w:tr w:rsidR="00A41BB9" w:rsidRPr="00A41BB9" w14:paraId="115DEC50" w14:textId="77777777" w:rsidTr="00A41BB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1BB9" w:rsidRPr="00A41BB9" w14:paraId="6703ABB4" w14:textId="77777777">
              <w:trPr>
                <w:tblCellSpacing w:w="0" w:type="dxa"/>
              </w:trPr>
              <w:tc>
                <w:tcPr>
                  <w:tcW w:w="0" w:type="auto"/>
                  <w:vAlign w:val="center"/>
                  <w:hideMark/>
                </w:tcPr>
                <w:p w14:paraId="6A32303B"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t>1. Застосування розроблених режимів впливу УЗ в комплексному лікуванні хворих на АГ підвищує ефективність їх відновлювального лікування на стаціонарному та курортному етапах реабілітації:</w:t>
                  </w:r>
                </w:p>
                <w:p w14:paraId="22714611"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t>знижує підвищений АТ, поліпшує функціональний стан міокарду ЛШ за рахунок переважного покращення діастолічного розслаблення, покращує венозний відтік із судин головного мозку та нормалізує обсяг кровообігу в судинах ніг, потенціює позитивні та попереджує небажані гемодинамічні ефекти гіпотензивних препаратів і зменшує їх кількість.</w:t>
                  </w:r>
                </w:p>
                <w:p w14:paraId="6E99AC9A"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t>2. Вихідний клінічний стан хворих на АГ, котрі поступали на лікування (по даним аналізу історій хвороби та згідно результатів первинного обстеження), характеризувався помірною АГ ІІ стадії та переважно нічним її типом. У всіх хворих рівень АТ перевищував значення 160/100 мм рт. ст.. Тривалість захворювання була понад 5 років. У чверті осіб спостерігались часті гіпертонічні кризи, у всіх пацієнтів - ознаки гіпертрофії міокарда ЛШ з діастолічною дисфункцією; а у 50% - дилятація порожнин з наявністю систолічної дисфункції. У 50% хворих АГ супроводжувалася ознаками ІХС, у третини осіб діагностовані порушення серцевого ритму. Встановлено зниження толерантності до фізичного навантаження.</w:t>
                  </w:r>
                </w:p>
                <w:p w14:paraId="187F7327"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lastRenderedPageBreak/>
                    <w:t>Фармакологічне лікування їх включало застосування більше 3-х медикаментозних препаратів із перервними курсами. У 50% осіб спостерігалися (або були відзначені в анамнезі) побічні реакції фармакотерапії. 2/3 пацієнтам не призначалась фізіотерапія.</w:t>
                  </w:r>
                </w:p>
                <w:p w14:paraId="6C716586"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t>3. Характер і прояви клініко-гемодинамічних ефектів УЗ залежать від умов проведення процедури та потужності фактора:</w:t>
                  </w:r>
                </w:p>
                <w:p w14:paraId="5550B506"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t>- УЗ потужністю 3 Вт/см</w:t>
                  </w:r>
                  <w:r w:rsidRPr="00A41BB9">
                    <w:rPr>
                      <w:rFonts w:ascii="Times New Roman" w:eastAsia="Times New Roman" w:hAnsi="Times New Roman" w:cs="Times New Roman"/>
                      <w:sz w:val="24"/>
                      <w:szCs w:val="24"/>
                      <w:vertAlign w:val="superscript"/>
                    </w:rPr>
                    <w:t>2</w:t>
                  </w:r>
                  <w:r w:rsidRPr="00A41BB9">
                    <w:rPr>
                      <w:rFonts w:ascii="Times New Roman" w:eastAsia="Times New Roman" w:hAnsi="Times New Roman" w:cs="Times New Roman"/>
                      <w:sz w:val="24"/>
                      <w:szCs w:val="24"/>
                    </w:rPr>
                    <w:t>, частотою 1 МГц та модуляцією 100 Гц при дії паравертебрально на ділянку шийно-грудного відділу хребта тенденційно понижує переважно систолічний АТ, зменшує ЧСС та впливає на венозну ланку церебральної гемодинаміки;</w:t>
                  </w:r>
                </w:p>
                <w:p w14:paraId="143D7E06"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t>- УЗ потужністю 3 Вт/см</w:t>
                  </w:r>
                  <w:r w:rsidRPr="00A41BB9">
                    <w:rPr>
                      <w:rFonts w:ascii="Times New Roman" w:eastAsia="Times New Roman" w:hAnsi="Times New Roman" w:cs="Times New Roman"/>
                      <w:sz w:val="24"/>
                      <w:szCs w:val="24"/>
                      <w:vertAlign w:val="superscript"/>
                    </w:rPr>
                    <w:t>2</w:t>
                  </w:r>
                  <w:r w:rsidRPr="00A41BB9">
                    <w:rPr>
                      <w:rFonts w:ascii="Times New Roman" w:eastAsia="Times New Roman" w:hAnsi="Times New Roman" w:cs="Times New Roman"/>
                      <w:sz w:val="24"/>
                      <w:szCs w:val="24"/>
                    </w:rPr>
                    <w:t> частотою 1 МГц та модуляцією 100 Гц при дії на зону проекції нирок впливає більш виразно на рівень діастолічного АТ, не сповільнює СР та вірогідно покращує периферичний кровообіг.</w:t>
                  </w:r>
                </w:p>
                <w:p w14:paraId="161873AA"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t>- УЗ потужністю 3 Вт/см</w:t>
                  </w:r>
                  <w:r w:rsidRPr="00A41BB9">
                    <w:rPr>
                      <w:rFonts w:ascii="Times New Roman" w:eastAsia="Times New Roman" w:hAnsi="Times New Roman" w:cs="Times New Roman"/>
                      <w:sz w:val="24"/>
                      <w:szCs w:val="24"/>
                      <w:vertAlign w:val="superscript"/>
                    </w:rPr>
                    <w:t>2</w:t>
                  </w:r>
                  <w:r w:rsidRPr="00A41BB9">
                    <w:rPr>
                      <w:rFonts w:ascii="Times New Roman" w:eastAsia="Times New Roman" w:hAnsi="Times New Roman" w:cs="Times New Roman"/>
                      <w:sz w:val="24"/>
                      <w:szCs w:val="24"/>
                    </w:rPr>
                    <w:t> частотою 1 МГц та модуляцією 100 Гц при послідовній дії на ділянку шийно-грудного відділу хребта та на зону проекції нирок якісно поєднує та пролонгує ефекти обох варіантів процедур.</w:t>
                  </w:r>
                </w:p>
                <w:p w14:paraId="4319FF2C"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t>4. Розроблена методика добору режимів УЗ оптимізує гіпотензивну фармакотерапію. Характер поєднання «фактор-препарат» залежить від зони озвучування:</w:t>
                  </w:r>
                </w:p>
                <w:p w14:paraId="575F2096"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t>- паравертебральне озвучування шийно-грудного відділу хребта на тлі дії разової дози -адреноблокаторів викликає тенденцію до поліпшення церебральної гемодинаміки та не призводить до уповільнення СР;</w:t>
                  </w:r>
                </w:p>
                <w:p w14:paraId="77720004"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t>- озвучування ділянки нирок потенціює разові гіпотензивні та позитивні периферичні гемодинамічні ефекти антагоністів кальцію.</w:t>
                  </w:r>
                </w:p>
                <w:p w14:paraId="6B779E60" w14:textId="77777777" w:rsidR="00A41BB9" w:rsidRPr="00A41BB9" w:rsidRDefault="00A41BB9" w:rsidP="00A41B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1BB9">
                    <w:rPr>
                      <w:rFonts w:ascii="Times New Roman" w:eastAsia="Times New Roman" w:hAnsi="Times New Roman" w:cs="Times New Roman"/>
                      <w:sz w:val="24"/>
                      <w:szCs w:val="24"/>
                    </w:rPr>
                    <w:t>5. Розроблений метод добору режиму впливу УЗ у хворих на АГ на етапі курортної реабілітації зменшує клінічні прояви патології ССС, знижує підвищений АТ на протязі першого тижня у 85% осіб основної групи (у 15% пацієнтів контрольної групи), підвищує толерантність до фізичного навантаження у 85% хворих основної та у 55% - контрольної групи, зберігає індивідуально нормальний рівень АТ протягом 3-х місяців у 57,9% та 82,9% та протягом 6 місяців – у 31,6% та 56,5% у осіб контрольної та основної групи; дозволяє половині хворих впродовж 3-х місяців та 17% пацієнтам – впродовж 6-ти місяців не приймати гіпотензивні препарати.</w:t>
                  </w:r>
                </w:p>
              </w:tc>
            </w:tr>
          </w:tbl>
          <w:p w14:paraId="12DF08B6" w14:textId="77777777" w:rsidR="00A41BB9" w:rsidRPr="00A41BB9" w:rsidRDefault="00A41BB9" w:rsidP="00A41BB9">
            <w:pPr>
              <w:spacing w:after="0" w:line="240" w:lineRule="auto"/>
              <w:rPr>
                <w:rFonts w:ascii="Times New Roman" w:eastAsia="Times New Roman" w:hAnsi="Times New Roman" w:cs="Times New Roman"/>
                <w:sz w:val="24"/>
                <w:szCs w:val="24"/>
              </w:rPr>
            </w:pPr>
          </w:p>
        </w:tc>
      </w:tr>
    </w:tbl>
    <w:p w14:paraId="3C4C837B" w14:textId="77777777" w:rsidR="00A41BB9" w:rsidRPr="00A41BB9" w:rsidRDefault="00A41BB9" w:rsidP="00A41BB9"/>
    <w:sectPr w:rsidR="00A41BB9" w:rsidRPr="00A41BB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B46E6" w14:textId="77777777" w:rsidR="00F51EBC" w:rsidRDefault="00F51EBC">
      <w:pPr>
        <w:spacing w:after="0" w:line="240" w:lineRule="auto"/>
      </w:pPr>
      <w:r>
        <w:separator/>
      </w:r>
    </w:p>
  </w:endnote>
  <w:endnote w:type="continuationSeparator" w:id="0">
    <w:p w14:paraId="7913374A" w14:textId="77777777" w:rsidR="00F51EBC" w:rsidRDefault="00F5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6576" w14:textId="77777777" w:rsidR="00F51EBC" w:rsidRDefault="00F51EBC">
      <w:pPr>
        <w:spacing w:after="0" w:line="240" w:lineRule="auto"/>
      </w:pPr>
      <w:r>
        <w:separator/>
      </w:r>
    </w:p>
  </w:footnote>
  <w:footnote w:type="continuationSeparator" w:id="0">
    <w:p w14:paraId="0F1F25F8" w14:textId="77777777" w:rsidR="00F51EBC" w:rsidRDefault="00F51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51EB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BC"/>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123811</TotalTime>
  <Pages>3</Pages>
  <Words>806</Words>
  <Characters>4596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4930</cp:revision>
  <dcterms:created xsi:type="dcterms:W3CDTF">2024-06-20T08:51:00Z</dcterms:created>
  <dcterms:modified xsi:type="dcterms:W3CDTF">2025-01-21T12:59:00Z</dcterms:modified>
  <cp:category/>
</cp:coreProperties>
</file>