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E4B5" w14:textId="628222D9" w:rsidR="00166674" w:rsidRPr="00BA3452" w:rsidRDefault="00BA3452" w:rsidP="00BA3452">
      <w:r>
        <w:rPr>
          <w:rFonts w:ascii="Verdana" w:hAnsi="Verdana"/>
          <w:b/>
          <w:bCs/>
          <w:color w:val="000000"/>
          <w:shd w:val="clear" w:color="auto" w:fill="FFFFFF"/>
        </w:rPr>
        <w:t>Сакович Василь Микитович. Клініко-імунобіохімічні особливості перебігу герпетичних кератитів, їх лікування та профілактика ускладнень : дис... д-ра мед. наук: 14.01.18 / Інститут очних хвороб і тканинної терапії ім. В.П.Філатова АМН України. - О., 2006</w:t>
      </w:r>
    </w:p>
    <w:sectPr w:rsidR="00166674" w:rsidRPr="00BA34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9EA2F" w14:textId="77777777" w:rsidR="00B73595" w:rsidRDefault="00B73595">
      <w:pPr>
        <w:spacing w:after="0" w:line="240" w:lineRule="auto"/>
      </w:pPr>
      <w:r>
        <w:separator/>
      </w:r>
    </w:p>
  </w:endnote>
  <w:endnote w:type="continuationSeparator" w:id="0">
    <w:p w14:paraId="3F61EE35" w14:textId="77777777" w:rsidR="00B73595" w:rsidRDefault="00B7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846B" w14:textId="77777777" w:rsidR="00B73595" w:rsidRDefault="00B73595">
      <w:pPr>
        <w:spacing w:after="0" w:line="240" w:lineRule="auto"/>
      </w:pPr>
      <w:r>
        <w:separator/>
      </w:r>
    </w:p>
  </w:footnote>
  <w:footnote w:type="continuationSeparator" w:id="0">
    <w:p w14:paraId="47D90EDD" w14:textId="77777777" w:rsidR="00B73595" w:rsidRDefault="00B73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35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595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130654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6360</cp:revision>
  <dcterms:created xsi:type="dcterms:W3CDTF">2024-06-20T08:51:00Z</dcterms:created>
  <dcterms:modified xsi:type="dcterms:W3CDTF">2025-01-30T06:40:00Z</dcterms:modified>
  <cp:category/>
</cp:coreProperties>
</file>