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EAA1" w14:textId="737D3D20" w:rsidR="00FF63CB" w:rsidRDefault="00C153E3" w:rsidP="00C153E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Ковальчук Андрій Трохимович. Фінансово-правове регулювання грошово-кредитних відносин: дис... канд. юрид. наук: 12.00.07 / Національна академія податкової служби Держ. податкової адміністрації України. - К., 2004</w:t>
      </w:r>
    </w:p>
    <w:p w14:paraId="73F5885E" w14:textId="77777777" w:rsidR="00C153E3" w:rsidRPr="00C153E3" w:rsidRDefault="00C153E3" w:rsidP="00C15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5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КовальчукА.Т. Фінансово-правове регулювання грошово-кредитних відносин. - </w:t>
      </w:r>
      <w:r w:rsidRPr="00C153E3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2D7D8552" w14:textId="77777777" w:rsidR="00C153E3" w:rsidRPr="00C153E3" w:rsidRDefault="00C153E3" w:rsidP="00C15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53E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управління, адміністративне право і процес, фінансове право – Інститут законодавства Верховної Ради України.- Київ. 2004.</w:t>
      </w:r>
    </w:p>
    <w:p w14:paraId="43706857" w14:textId="77777777" w:rsidR="00C153E3" w:rsidRPr="00C153E3" w:rsidRDefault="00C153E3" w:rsidP="00C15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53E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проведено комплексне наукове дослідження проблем фінансово-правового регулювання грошово-кредитних відносин в умовах ринкової трансформації. Зясовано сутність та виявлено характерні особливості фінансового права ; запропонована концепція вдосконалення правового режиму грошово-кредитної сфери; сформульовано законодавчо-правові підходи до фінансово-правового регулювання монетарної політики.</w:t>
      </w:r>
    </w:p>
    <w:p w14:paraId="4A5FAB5F" w14:textId="77777777" w:rsidR="00C153E3" w:rsidRPr="00C153E3" w:rsidRDefault="00C153E3" w:rsidP="00C15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53E3">
        <w:rPr>
          <w:rFonts w:ascii="Times New Roman" w:eastAsia="Times New Roman" w:hAnsi="Times New Roman" w:cs="Times New Roman"/>
          <w:color w:val="000000"/>
          <w:sz w:val="27"/>
          <w:szCs w:val="27"/>
        </w:rPr>
        <w:t>Обгрунтовано, що грошово-кредитна сфера у правовому вимірі – це означена сукупність принципів, критеріїв, правил та організаційних форм, які базуючись на чинному законодавстві, забезпечують необхідні умови для реалізації і розвитку грошово-кредитних відносин.</w:t>
      </w:r>
    </w:p>
    <w:p w14:paraId="533E2637" w14:textId="77777777" w:rsidR="00C153E3" w:rsidRPr="00C153E3" w:rsidRDefault="00C153E3" w:rsidP="00C15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53E3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Доведено, що законодавчо-правове забезпечення грошово-кредитних відносин супроводжується юридичними колізіями, окремі з яких носять антагоністичну природу; проаналізовано правовий режим безготівкового грошового обігу, а також консорціумного кредитування.</w:t>
      </w:r>
    </w:p>
    <w:p w14:paraId="269EDC67" w14:textId="77777777" w:rsidR="00C153E3" w:rsidRPr="00C153E3" w:rsidRDefault="00C153E3" w:rsidP="00C153E3"/>
    <w:sectPr w:rsidR="00C153E3" w:rsidRPr="00C153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DFF9" w14:textId="77777777" w:rsidR="0050335C" w:rsidRDefault="0050335C">
      <w:pPr>
        <w:spacing w:after="0" w:line="240" w:lineRule="auto"/>
      </w:pPr>
      <w:r>
        <w:separator/>
      </w:r>
    </w:p>
  </w:endnote>
  <w:endnote w:type="continuationSeparator" w:id="0">
    <w:p w14:paraId="590DE970" w14:textId="77777777" w:rsidR="0050335C" w:rsidRDefault="0050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E767" w14:textId="77777777" w:rsidR="0050335C" w:rsidRDefault="0050335C">
      <w:pPr>
        <w:spacing w:after="0" w:line="240" w:lineRule="auto"/>
      </w:pPr>
      <w:r>
        <w:separator/>
      </w:r>
    </w:p>
  </w:footnote>
  <w:footnote w:type="continuationSeparator" w:id="0">
    <w:p w14:paraId="1FBB60F4" w14:textId="77777777" w:rsidR="0050335C" w:rsidRDefault="0050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33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2"/>
  </w:num>
  <w:num w:numId="4">
    <w:abstractNumId w:val="34"/>
  </w:num>
  <w:num w:numId="5">
    <w:abstractNumId w:val="40"/>
  </w:num>
  <w:num w:numId="6">
    <w:abstractNumId w:val="17"/>
  </w:num>
  <w:num w:numId="7">
    <w:abstractNumId w:val="28"/>
  </w:num>
  <w:num w:numId="8">
    <w:abstractNumId w:val="39"/>
  </w:num>
  <w:num w:numId="9">
    <w:abstractNumId w:val="7"/>
  </w:num>
  <w:num w:numId="10">
    <w:abstractNumId w:val="14"/>
  </w:num>
  <w:num w:numId="11">
    <w:abstractNumId w:val="1"/>
  </w:num>
  <w:num w:numId="12">
    <w:abstractNumId w:val="43"/>
  </w:num>
  <w:num w:numId="13">
    <w:abstractNumId w:val="24"/>
  </w:num>
  <w:num w:numId="14">
    <w:abstractNumId w:val="12"/>
  </w:num>
  <w:num w:numId="15">
    <w:abstractNumId w:val="33"/>
  </w:num>
  <w:num w:numId="16">
    <w:abstractNumId w:val="13"/>
  </w:num>
  <w:num w:numId="17">
    <w:abstractNumId w:val="35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0"/>
  </w:num>
  <w:num w:numId="23">
    <w:abstractNumId w:val="36"/>
  </w:num>
  <w:num w:numId="24">
    <w:abstractNumId w:val="32"/>
  </w:num>
  <w:num w:numId="25">
    <w:abstractNumId w:val="41"/>
  </w:num>
  <w:num w:numId="26">
    <w:abstractNumId w:val="23"/>
  </w:num>
  <w:num w:numId="27">
    <w:abstractNumId w:val="27"/>
  </w:num>
  <w:num w:numId="28">
    <w:abstractNumId w:val="9"/>
  </w:num>
  <w:num w:numId="29">
    <w:abstractNumId w:val="15"/>
  </w:num>
  <w:num w:numId="30">
    <w:abstractNumId w:val="45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7"/>
  </w:num>
  <w:num w:numId="36">
    <w:abstractNumId w:val="11"/>
  </w:num>
  <w:num w:numId="37">
    <w:abstractNumId w:val="44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29"/>
  </w:num>
  <w:num w:numId="43">
    <w:abstractNumId w:val="6"/>
  </w:num>
  <w:num w:numId="44">
    <w:abstractNumId w:val="31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35C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35511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7463</cp:revision>
  <dcterms:created xsi:type="dcterms:W3CDTF">2024-06-20T08:51:00Z</dcterms:created>
  <dcterms:modified xsi:type="dcterms:W3CDTF">2024-07-27T01:22:00Z</dcterms:modified>
  <cp:category/>
</cp:coreProperties>
</file>