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8405" w14:textId="7D0F7840" w:rsidR="00E2479E" w:rsidRPr="00FB45D5" w:rsidRDefault="00FB45D5" w:rsidP="00FB45D5">
      <w:r>
        <w:rPr>
          <w:rFonts w:ascii="Verdana" w:hAnsi="Verdana"/>
          <w:b/>
          <w:bCs/>
          <w:color w:val="000000"/>
          <w:shd w:val="clear" w:color="auto" w:fill="FFFFFF"/>
        </w:rPr>
        <w:t>Малев Олександр Володимирович. Диференційоване застосування магнітолазеротерапії в санаторно-курортному лікуванні хворих з дисциркуляторною енцефалопатією на тлі остеохондрозу хребта та артеріальної гіпертензії.- Дисертація канд. мед. наук: 14.01.33, ДУ "Укр. НДІ мед. реабілітації та курортології М-ва охорони здоров'я України". - О., 2012.- 220 с. : табл.</w:t>
      </w:r>
    </w:p>
    <w:sectPr w:rsidR="00E2479E" w:rsidRPr="00FB45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6A618" w14:textId="77777777" w:rsidR="005F4E8C" w:rsidRDefault="005F4E8C">
      <w:pPr>
        <w:spacing w:after="0" w:line="240" w:lineRule="auto"/>
      </w:pPr>
      <w:r>
        <w:separator/>
      </w:r>
    </w:p>
  </w:endnote>
  <w:endnote w:type="continuationSeparator" w:id="0">
    <w:p w14:paraId="14009F2E" w14:textId="77777777" w:rsidR="005F4E8C" w:rsidRDefault="005F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A4BD2" w14:textId="77777777" w:rsidR="005F4E8C" w:rsidRDefault="005F4E8C">
      <w:pPr>
        <w:spacing w:after="0" w:line="240" w:lineRule="auto"/>
      </w:pPr>
      <w:r>
        <w:separator/>
      </w:r>
    </w:p>
  </w:footnote>
  <w:footnote w:type="continuationSeparator" w:id="0">
    <w:p w14:paraId="208DCFE7" w14:textId="77777777" w:rsidR="005F4E8C" w:rsidRDefault="005F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4E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E8C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123732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4866</cp:revision>
  <dcterms:created xsi:type="dcterms:W3CDTF">2024-06-20T08:51:00Z</dcterms:created>
  <dcterms:modified xsi:type="dcterms:W3CDTF">2025-01-21T11:35:00Z</dcterms:modified>
  <cp:category/>
</cp:coreProperties>
</file>