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A5" w:rsidRDefault="00E579A5" w:rsidP="00E579A5">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Bold" w:hAnsi="Arial,Bold" w:cs="Arial,Bold"/>
          <w:b/>
          <w:bCs/>
          <w:color w:val="000000"/>
          <w:kern w:val="0"/>
          <w:sz w:val="28"/>
          <w:szCs w:val="28"/>
          <w:lang w:eastAsia="ru-RU"/>
        </w:rPr>
        <w:t>Стратюк Андрій Олександрович</w:t>
      </w:r>
      <w:r>
        <w:rPr>
          <w:rFonts w:ascii="Arial" w:hAnsi="Arial" w:cs="Arial"/>
          <w:color w:val="000000"/>
          <w:kern w:val="0"/>
          <w:sz w:val="28"/>
          <w:szCs w:val="28"/>
          <w:lang w:eastAsia="ru-RU"/>
        </w:rPr>
        <w:t>, аспірант кафедри трудового права</w:t>
      </w:r>
    </w:p>
    <w:p w:rsidR="00E579A5" w:rsidRDefault="00E579A5" w:rsidP="00E579A5">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та права соціального забезпечення ННІ права Київського</w:t>
      </w:r>
    </w:p>
    <w:p w:rsidR="00E579A5" w:rsidRDefault="00E579A5" w:rsidP="00E579A5">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національного університету імені Тараса Шевченка, тема дисертації:</w:t>
      </w:r>
    </w:p>
    <w:p w:rsidR="00E579A5" w:rsidRDefault="00E579A5" w:rsidP="00E579A5">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 xml:space="preserve"> «Правове регулювання медіації як способу вирішення трудових</w:t>
      </w:r>
    </w:p>
    <w:p w:rsidR="00E579A5" w:rsidRDefault="00E579A5" w:rsidP="00E579A5">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спорів», (081 Право). Спеціалізована вчена рада ДФ 26.001.247</w:t>
      </w:r>
    </w:p>
    <w:p w:rsidR="0074532F" w:rsidRPr="00E579A5" w:rsidRDefault="00E579A5" w:rsidP="00E579A5">
      <w:r>
        <w:rPr>
          <w:rFonts w:ascii="Arial" w:hAnsi="Arial" w:cs="Arial"/>
          <w:color w:val="000000"/>
          <w:kern w:val="0"/>
          <w:sz w:val="28"/>
          <w:szCs w:val="28"/>
          <w:lang w:eastAsia="ru-RU"/>
        </w:rPr>
        <w:t>Київського національного університету імені Тараса Шевченка</w:t>
      </w:r>
    </w:p>
    <w:sectPr w:rsidR="0074532F" w:rsidRPr="00E579A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E579A5" w:rsidRPr="00E579A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24263-920F-45D7-9113-651BC251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2022-01-24T20:03:00Z</dcterms:created>
  <dcterms:modified xsi:type="dcterms:W3CDTF">2022-01-25T08:24:00Z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