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5EA9B" w14:textId="673D9617" w:rsidR="00513AA4" w:rsidRDefault="003A0C4E" w:rsidP="003A0C4E">
      <w:pPr>
        <w:rPr>
          <w:rFonts w:ascii="Verdana" w:hAnsi="Verdana"/>
          <w:b/>
          <w:bCs/>
          <w:color w:val="000000"/>
          <w:shd w:val="clear" w:color="auto" w:fill="FFFFFF"/>
        </w:rPr>
      </w:pPr>
      <w:r>
        <w:rPr>
          <w:rFonts w:ascii="Verdana" w:hAnsi="Verdana"/>
          <w:b/>
          <w:bCs/>
          <w:color w:val="000000"/>
          <w:shd w:val="clear" w:color="auto" w:fill="FFFFFF"/>
        </w:rPr>
        <w:t>Семеняка Володимир Іванович. Шляхи підвищення репрезентативності скринінгового дослідження коагуляційного гемостазу : дис... канд. біол. наук: 14.01.31 / АМН України; Інститут гематології та трансфузіології.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0C4E" w:rsidRPr="003A0C4E" w14:paraId="0FE175A2" w14:textId="77777777" w:rsidTr="003A0C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0C4E" w:rsidRPr="003A0C4E" w14:paraId="7244B46E" w14:textId="77777777">
              <w:trPr>
                <w:tblCellSpacing w:w="0" w:type="dxa"/>
              </w:trPr>
              <w:tc>
                <w:tcPr>
                  <w:tcW w:w="0" w:type="auto"/>
                  <w:vAlign w:val="center"/>
                  <w:hideMark/>
                </w:tcPr>
                <w:p w14:paraId="0A19D9C0" w14:textId="77777777" w:rsidR="003A0C4E" w:rsidRPr="003A0C4E" w:rsidRDefault="003A0C4E" w:rsidP="003A0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C4E">
                    <w:rPr>
                      <w:rFonts w:ascii="Times New Roman" w:eastAsia="Times New Roman" w:hAnsi="Times New Roman" w:cs="Times New Roman"/>
                      <w:sz w:val="24"/>
                      <w:szCs w:val="24"/>
                    </w:rPr>
                    <w:lastRenderedPageBreak/>
                    <w:t>Семеняка Володимир Іванович. Шляхи підвищення репрезентативності скринінгового дослідження коагуляційного гемостазу. – Рукопис.</w:t>
                  </w:r>
                </w:p>
                <w:p w14:paraId="1CC342D7" w14:textId="77777777" w:rsidR="003A0C4E" w:rsidRPr="003A0C4E" w:rsidRDefault="003A0C4E" w:rsidP="003A0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C4E">
                    <w:rPr>
                      <w:rFonts w:ascii="Times New Roman" w:eastAsia="Times New Roman" w:hAnsi="Times New Roman" w:cs="Times New Roman"/>
                      <w:sz w:val="24"/>
                      <w:szCs w:val="24"/>
                    </w:rPr>
                    <w:t>Дисертація на здобуття вченого ступеня кандидата біологічних наук за спеціальністю 14.01.31 – гематологія та трансфузіологія. – Інститут гематології та трансфузіології АМН України. – 2006.</w:t>
                  </w:r>
                </w:p>
                <w:p w14:paraId="09E7EC67" w14:textId="77777777" w:rsidR="003A0C4E" w:rsidRPr="003A0C4E" w:rsidRDefault="003A0C4E" w:rsidP="003A0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C4E">
                    <w:rPr>
                      <w:rFonts w:ascii="Times New Roman" w:eastAsia="Times New Roman" w:hAnsi="Times New Roman" w:cs="Times New Roman"/>
                      <w:sz w:val="24"/>
                      <w:szCs w:val="24"/>
                    </w:rPr>
                    <w:t>Здійснено аналіз та узагальнення досліджень коагуляційного гемостазу у осіб референтної групи та хворих на гемостазіопатії. Встановлено реальні межі норми для методів скринінг-коагулограми. Встановлені основні характеристики репрезентативної референтної групи та характер їх розподілу.</w:t>
                  </w:r>
                </w:p>
                <w:p w14:paraId="2164EB09" w14:textId="77777777" w:rsidR="003A0C4E" w:rsidRPr="003A0C4E" w:rsidRDefault="003A0C4E" w:rsidP="003A0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C4E">
                    <w:rPr>
                      <w:rFonts w:ascii="Times New Roman" w:eastAsia="Times New Roman" w:hAnsi="Times New Roman" w:cs="Times New Roman"/>
                      <w:sz w:val="24"/>
                      <w:szCs w:val="24"/>
                    </w:rPr>
                    <w:t>Встановлена кореляційна залежність між активністю компонентів системи гемостазу та концентрацією середньомолекулярних пептидів у сироватці крові, що дозволяє рекомендувати метод визначення цього маркеру ендоінтоксикації для запобігання включенню індивідуумів з прихованими захворюваннями до референтної групи.</w:t>
                  </w:r>
                </w:p>
                <w:p w14:paraId="379973EA" w14:textId="77777777" w:rsidR="003A0C4E" w:rsidRPr="003A0C4E" w:rsidRDefault="003A0C4E" w:rsidP="003A0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C4E">
                    <w:rPr>
                      <w:rFonts w:ascii="Times New Roman" w:eastAsia="Times New Roman" w:hAnsi="Times New Roman" w:cs="Times New Roman"/>
                      <w:sz w:val="24"/>
                      <w:szCs w:val="24"/>
                    </w:rPr>
                    <w:t>Превентивний аналіз методів дослідження коагуляційного гемостазу з позицій доказової медицини дозволив визначити оптимальний набір тестів скринінг-коагулограми.</w:t>
                  </w:r>
                </w:p>
                <w:p w14:paraId="1500A1F7" w14:textId="77777777" w:rsidR="003A0C4E" w:rsidRPr="003A0C4E" w:rsidRDefault="003A0C4E" w:rsidP="003A0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C4E">
                    <w:rPr>
                      <w:rFonts w:ascii="Times New Roman" w:eastAsia="Times New Roman" w:hAnsi="Times New Roman" w:cs="Times New Roman"/>
                      <w:sz w:val="24"/>
                      <w:szCs w:val="24"/>
                    </w:rPr>
                    <w:t>Для нівелювання різниці активності аналогічних реагентів різних виробників і серій запропоновано новий референтний оціночний індекс. Показана його висока ефективність при проведенні лабораторних досліджень системи гемостазу.</w:t>
                  </w:r>
                </w:p>
                <w:p w14:paraId="54523EEC" w14:textId="77777777" w:rsidR="003A0C4E" w:rsidRPr="003A0C4E" w:rsidRDefault="003A0C4E" w:rsidP="003A0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C4E">
                    <w:rPr>
                      <w:rFonts w:ascii="Times New Roman" w:eastAsia="Times New Roman" w:hAnsi="Times New Roman" w:cs="Times New Roman"/>
                      <w:sz w:val="24"/>
                      <w:szCs w:val="24"/>
                    </w:rPr>
                    <w:t>На основі цих досліджень розроблено систему правил проведення преаналітичного та постаналітичного етапів скринінг-коагулограми, що підвищує репрезентативність досліджень системи гемостазу.</w:t>
                  </w:r>
                </w:p>
              </w:tc>
            </w:tr>
          </w:tbl>
          <w:p w14:paraId="50CAD1DA" w14:textId="77777777" w:rsidR="003A0C4E" w:rsidRPr="003A0C4E" w:rsidRDefault="003A0C4E" w:rsidP="003A0C4E">
            <w:pPr>
              <w:spacing w:after="0" w:line="240" w:lineRule="auto"/>
              <w:rPr>
                <w:rFonts w:ascii="Times New Roman" w:eastAsia="Times New Roman" w:hAnsi="Times New Roman" w:cs="Times New Roman"/>
                <w:sz w:val="24"/>
                <w:szCs w:val="24"/>
              </w:rPr>
            </w:pPr>
          </w:p>
        </w:tc>
      </w:tr>
      <w:tr w:rsidR="003A0C4E" w:rsidRPr="003A0C4E" w14:paraId="3FD7601F" w14:textId="77777777" w:rsidTr="003A0C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0C4E" w:rsidRPr="003A0C4E" w14:paraId="60881BC7" w14:textId="77777777">
              <w:trPr>
                <w:tblCellSpacing w:w="0" w:type="dxa"/>
              </w:trPr>
              <w:tc>
                <w:tcPr>
                  <w:tcW w:w="0" w:type="auto"/>
                  <w:vAlign w:val="center"/>
                  <w:hideMark/>
                </w:tcPr>
                <w:p w14:paraId="576A8EBC" w14:textId="77777777" w:rsidR="003A0C4E" w:rsidRPr="003A0C4E" w:rsidRDefault="003A0C4E" w:rsidP="003A0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C4E">
                    <w:rPr>
                      <w:rFonts w:ascii="Times New Roman" w:eastAsia="Times New Roman" w:hAnsi="Times New Roman" w:cs="Times New Roman"/>
                      <w:sz w:val="24"/>
                      <w:szCs w:val="24"/>
                    </w:rPr>
                    <w:t>1. У дисертаційній роботі наведено теоретичне узагальнення та розбір причин низької репрезентативності скринінгових досліджень коагуляційного гемостазу та визначено концептуальний шлях вирішення цієї проблеми, який полягає у підвищенні якості аналітичної процедури на всіх етапах виконання аналізу. Запропоновано способи підвищення діагностичної цінності скринінгового дослідження коагуляційної ланки системи гемостазу, які включають удосконалення методології формування репрезентативної референтної групи, вибір оптимальних засобів діагностики та інтерпретації отриманих результатів.</w:t>
                  </w:r>
                </w:p>
                <w:p w14:paraId="2DF295B2" w14:textId="77777777" w:rsidR="003A0C4E" w:rsidRPr="003A0C4E" w:rsidRDefault="003A0C4E" w:rsidP="003A0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C4E">
                    <w:rPr>
                      <w:rFonts w:ascii="Times New Roman" w:eastAsia="Times New Roman" w:hAnsi="Times New Roman" w:cs="Times New Roman"/>
                      <w:sz w:val="24"/>
                      <w:szCs w:val="24"/>
                    </w:rPr>
                    <w:t>2. Показано, що добір осіб у референтну групу повинен проводитись виходячи з визначення статусу “здоров’я”, з використанням обмежуючих критеріїв, пов’язаних із наявністю гемостазіопатій в анамнезі, характером харчування, руховим режимом, статтю, шкідливими звичками, етнічною приналежністю, віком. Встановлено, що розподіл показників індексу маси тіла та досліджуваних показників коагулограми у референтній вибірці здорових індивідуумів підпорядковується закону Гаусса-Лапласа, а розподіл за віком не підпорядковується.</w:t>
                  </w:r>
                </w:p>
                <w:p w14:paraId="4E658782" w14:textId="77777777" w:rsidR="003A0C4E" w:rsidRPr="003A0C4E" w:rsidRDefault="003A0C4E" w:rsidP="003A0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C4E">
                    <w:rPr>
                      <w:rFonts w:ascii="Times New Roman" w:eastAsia="Times New Roman" w:hAnsi="Times New Roman" w:cs="Times New Roman"/>
                      <w:sz w:val="24"/>
                      <w:szCs w:val="24"/>
                    </w:rPr>
                    <w:t>3. Доведено, що для підвищення достовірності результатів досліджень коагуляційної ланки системи гемостазу лабораторії повинні самостійно проводити встановлення меж нормальних значень досліджуваних показників на представниках популяції здорових осіб, які обстежуються в цій лабораторії.</w:t>
                  </w:r>
                </w:p>
                <w:p w14:paraId="280C68C2" w14:textId="77777777" w:rsidR="003A0C4E" w:rsidRPr="003A0C4E" w:rsidRDefault="003A0C4E" w:rsidP="003A0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C4E">
                    <w:rPr>
                      <w:rFonts w:ascii="Times New Roman" w:eastAsia="Times New Roman" w:hAnsi="Times New Roman" w:cs="Times New Roman"/>
                      <w:sz w:val="24"/>
                      <w:szCs w:val="24"/>
                    </w:rPr>
                    <w:lastRenderedPageBreak/>
                    <w:t>4. Встановлено кореляційну залежність між показниками активності процесів гемокоагуляції та концентрацію середньомолекулярних пептидів при збільшенні ступеня ризику розвитку ускладнень з боку системи гемостазу, що свідчить про доцільність використання досліджуваного маркеру ендотоксикозу як критерію відбору здорових індивідуумів до референтної групи.</w:t>
                  </w:r>
                </w:p>
                <w:p w14:paraId="7F1BAED8" w14:textId="77777777" w:rsidR="003A0C4E" w:rsidRPr="003A0C4E" w:rsidRDefault="003A0C4E" w:rsidP="003A0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C4E">
                    <w:rPr>
                      <w:rFonts w:ascii="Times New Roman" w:eastAsia="Times New Roman" w:hAnsi="Times New Roman" w:cs="Times New Roman"/>
                      <w:sz w:val="24"/>
                      <w:szCs w:val="24"/>
                    </w:rPr>
                    <w:t>5. Доведено, що заміна методу скринінг-коагулограми, який має високу діагностичну цінність декількома тестами з низькою діагностичною цінністю приводить до зниження репрезентативності дослідження.</w:t>
                  </w:r>
                </w:p>
                <w:p w14:paraId="640F8289" w14:textId="77777777" w:rsidR="003A0C4E" w:rsidRPr="003A0C4E" w:rsidRDefault="003A0C4E" w:rsidP="003A0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C4E">
                    <w:rPr>
                      <w:rFonts w:ascii="Times New Roman" w:eastAsia="Times New Roman" w:hAnsi="Times New Roman" w:cs="Times New Roman"/>
                      <w:sz w:val="24"/>
                      <w:szCs w:val="24"/>
                    </w:rPr>
                    <w:t>6. Визначено умови спеціальної підготовки пацієнта на преанaлітичному етапі та отримання матеріалу дослідження, які мінімізують можливий вплив на систему гемостазу факторів внутрішнього і зовнішнього середовища, сприяють підвищенню репрезентативності кінцевого результату аналізу.</w:t>
                  </w:r>
                </w:p>
                <w:p w14:paraId="420FBB87" w14:textId="77777777" w:rsidR="003A0C4E" w:rsidRPr="003A0C4E" w:rsidRDefault="003A0C4E" w:rsidP="003A0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C4E">
                    <w:rPr>
                      <w:rFonts w:ascii="Times New Roman" w:eastAsia="Times New Roman" w:hAnsi="Times New Roman" w:cs="Times New Roman"/>
                      <w:sz w:val="24"/>
                      <w:szCs w:val="24"/>
                    </w:rPr>
                    <w:t>7. Показана доцільність застосування розробленого методу оцінки показників тестів скринінгової коагулограми - референтний оціночний індекс. Доведено інформативність індексу при діагностиці та моніторингу перебігу гемостазіопатій; його незалежність від активності реагентів.</w:t>
                  </w:r>
                </w:p>
                <w:p w14:paraId="709A0A40" w14:textId="77777777" w:rsidR="003A0C4E" w:rsidRPr="003A0C4E" w:rsidRDefault="003A0C4E" w:rsidP="003A0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C4E">
                    <w:rPr>
                      <w:rFonts w:ascii="Times New Roman" w:eastAsia="Times New Roman" w:hAnsi="Times New Roman" w:cs="Times New Roman"/>
                      <w:sz w:val="24"/>
                      <w:szCs w:val="24"/>
                    </w:rPr>
                    <w:t>8. Аргументована необхідність модернізації підходів до досліджень системи гемостазу яка полягає у введенні стандартів виконання преаналітичного та постаналітичного етапів аналітичної процедури в лабораторіях всіх рівнів. Основними вимогами таких стандартів має бути дотримання єдиних правил формування референтної групи, вибору методів дослідження та їх інтерпретації.</w:t>
                  </w:r>
                </w:p>
              </w:tc>
            </w:tr>
          </w:tbl>
          <w:p w14:paraId="609E9C19" w14:textId="77777777" w:rsidR="003A0C4E" w:rsidRPr="003A0C4E" w:rsidRDefault="003A0C4E" w:rsidP="003A0C4E">
            <w:pPr>
              <w:spacing w:after="0" w:line="240" w:lineRule="auto"/>
              <w:rPr>
                <w:rFonts w:ascii="Times New Roman" w:eastAsia="Times New Roman" w:hAnsi="Times New Roman" w:cs="Times New Roman"/>
                <w:sz w:val="24"/>
                <w:szCs w:val="24"/>
              </w:rPr>
            </w:pPr>
          </w:p>
        </w:tc>
      </w:tr>
    </w:tbl>
    <w:p w14:paraId="40B3D2E3" w14:textId="77777777" w:rsidR="003A0C4E" w:rsidRPr="003A0C4E" w:rsidRDefault="003A0C4E" w:rsidP="003A0C4E"/>
    <w:sectPr w:rsidR="003A0C4E" w:rsidRPr="003A0C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80C1" w14:textId="77777777" w:rsidR="00E93F2A" w:rsidRDefault="00E93F2A">
      <w:pPr>
        <w:spacing w:after="0" w:line="240" w:lineRule="auto"/>
      </w:pPr>
      <w:r>
        <w:separator/>
      </w:r>
    </w:p>
  </w:endnote>
  <w:endnote w:type="continuationSeparator" w:id="0">
    <w:p w14:paraId="542FCA85" w14:textId="77777777" w:rsidR="00E93F2A" w:rsidRDefault="00E9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3429" w14:textId="77777777" w:rsidR="00E93F2A" w:rsidRDefault="00E93F2A">
      <w:pPr>
        <w:spacing w:after="0" w:line="240" w:lineRule="auto"/>
      </w:pPr>
      <w:r>
        <w:separator/>
      </w:r>
    </w:p>
  </w:footnote>
  <w:footnote w:type="continuationSeparator" w:id="0">
    <w:p w14:paraId="4D4FF5E2" w14:textId="77777777" w:rsidR="00E93F2A" w:rsidRDefault="00E93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3F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317"/>
    <w:rsid w:val="00137427"/>
    <w:rsid w:val="00137445"/>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337"/>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872"/>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3F2A"/>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115408</TotalTime>
  <Pages>3</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3426</cp:revision>
  <dcterms:created xsi:type="dcterms:W3CDTF">2024-06-20T08:51:00Z</dcterms:created>
  <dcterms:modified xsi:type="dcterms:W3CDTF">2025-01-10T18:29:00Z</dcterms:modified>
  <cp:category/>
</cp:coreProperties>
</file>