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A809" w14:textId="77777777" w:rsidR="00B16D5A" w:rsidRDefault="00B16D5A" w:rsidP="00B16D5A">
      <w:pPr>
        <w:pStyle w:val="afffffffffffffffffffffffffff5"/>
        <w:rPr>
          <w:rFonts w:ascii="Verdana" w:hAnsi="Verdana"/>
          <w:color w:val="000000"/>
          <w:sz w:val="21"/>
          <w:szCs w:val="21"/>
        </w:rPr>
      </w:pPr>
      <w:r>
        <w:rPr>
          <w:rFonts w:ascii="Helvetica" w:hAnsi="Helvetica" w:cs="Helvetica"/>
          <w:b/>
          <w:bCs w:val="0"/>
          <w:color w:val="222222"/>
          <w:sz w:val="21"/>
          <w:szCs w:val="21"/>
        </w:rPr>
        <w:t>Федотов, Сергей Анатольевич.</w:t>
      </w:r>
    </w:p>
    <w:p w14:paraId="3C652801" w14:textId="77777777" w:rsidR="00B16D5A" w:rsidRDefault="00B16D5A" w:rsidP="00B16D5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метода функционального интегрирования к модельным двухуровневым </w:t>
      </w:r>
      <w:proofErr w:type="gramStart"/>
      <w:r>
        <w:rPr>
          <w:rFonts w:ascii="Helvetica" w:hAnsi="Helvetica" w:cs="Helvetica"/>
          <w:caps/>
          <w:color w:val="222222"/>
          <w:sz w:val="21"/>
          <w:szCs w:val="21"/>
        </w:rPr>
        <w:t>системам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- 102 с.</w:t>
      </w:r>
    </w:p>
    <w:p w14:paraId="0FBC73D3" w14:textId="77777777" w:rsidR="00B16D5A" w:rsidRDefault="00B16D5A" w:rsidP="00B16D5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Федотов, Сергей Анатольевич</w:t>
      </w:r>
    </w:p>
    <w:p w14:paraId="4BB427BD"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655F71"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w:t>
      </w:r>
      <w:proofErr w:type="spellStart"/>
      <w:r>
        <w:rPr>
          <w:rFonts w:ascii="Arial" w:hAnsi="Arial" w:cs="Arial"/>
          <w:color w:val="333333"/>
          <w:sz w:val="21"/>
          <w:szCs w:val="21"/>
        </w:rPr>
        <w:t>йазовып</w:t>
      </w:r>
      <w:proofErr w:type="spellEnd"/>
      <w:r>
        <w:rPr>
          <w:rFonts w:ascii="Arial" w:hAnsi="Arial" w:cs="Arial"/>
          <w:color w:val="333333"/>
          <w:sz w:val="21"/>
          <w:szCs w:val="21"/>
        </w:rPr>
        <w:t xml:space="preserve"> переход в модельной двухуровневой системе типа </w:t>
      </w:r>
      <w:proofErr w:type="spellStart"/>
      <w:r>
        <w:rPr>
          <w:rFonts w:ascii="Arial" w:hAnsi="Arial" w:cs="Arial"/>
          <w:color w:val="333333"/>
          <w:sz w:val="21"/>
          <w:szCs w:val="21"/>
        </w:rPr>
        <w:t>дикке</w:t>
      </w:r>
      <w:proofErr w:type="spellEnd"/>
      <w:r>
        <w:rPr>
          <w:rFonts w:ascii="Arial" w:hAnsi="Arial" w:cs="Arial"/>
          <w:color w:val="333333"/>
          <w:sz w:val="21"/>
          <w:szCs w:val="21"/>
        </w:rPr>
        <w:t>.</w:t>
      </w:r>
    </w:p>
    <w:p w14:paraId="210B4D77"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модели.</w:t>
      </w:r>
    </w:p>
    <w:p w14:paraId="49A798C9"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Вычисление статистической суммы. 2IL</w:t>
      </w:r>
    </w:p>
    <w:p w14:paraId="3D9D2698"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Спектр коллективных возбуждений.</w:t>
      </w:r>
    </w:p>
    <w:p w14:paraId="50DE6B50"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Выводы и возможные обобщения предложенной модели.</w:t>
      </w:r>
    </w:p>
    <w:p w14:paraId="7FC7AA95"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строгое доказательство </w:t>
      </w:r>
      <w:proofErr w:type="spellStart"/>
      <w:r>
        <w:rPr>
          <w:rFonts w:ascii="Arial" w:hAnsi="Arial" w:cs="Arial"/>
          <w:color w:val="333333"/>
          <w:sz w:val="21"/>
          <w:szCs w:val="21"/>
        </w:rPr>
        <w:t>асиштотики</w:t>
      </w:r>
      <w:proofErr w:type="spellEnd"/>
      <w:r>
        <w:rPr>
          <w:rFonts w:ascii="Arial" w:hAnsi="Arial" w:cs="Arial"/>
          <w:color w:val="333333"/>
          <w:sz w:val="21"/>
          <w:szCs w:val="21"/>
        </w:rPr>
        <w:t xml:space="preserve"> статистической сутулы для моделей типа </w:t>
      </w:r>
      <w:proofErr w:type="spellStart"/>
      <w:r>
        <w:rPr>
          <w:rFonts w:ascii="Arial" w:hAnsi="Arial" w:cs="Arial"/>
          <w:color w:val="333333"/>
          <w:sz w:val="21"/>
          <w:szCs w:val="21"/>
        </w:rPr>
        <w:t>дикке</w:t>
      </w:r>
      <w:proofErr w:type="spellEnd"/>
      <w:r>
        <w:rPr>
          <w:rFonts w:ascii="Arial" w:hAnsi="Arial" w:cs="Arial"/>
          <w:color w:val="333333"/>
          <w:sz w:val="21"/>
          <w:szCs w:val="21"/>
        </w:rPr>
        <w:t>.</w:t>
      </w:r>
    </w:p>
    <w:p w14:paraId="29E8241F"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Представление статистической суммы модели типа </w:t>
      </w:r>
      <w:proofErr w:type="spellStart"/>
      <w:r>
        <w:rPr>
          <w:rFonts w:ascii="Arial" w:hAnsi="Arial" w:cs="Arial"/>
          <w:color w:val="333333"/>
          <w:sz w:val="21"/>
          <w:szCs w:val="21"/>
        </w:rPr>
        <w:t>Дикке</w:t>
      </w:r>
      <w:proofErr w:type="spellEnd"/>
      <w:r>
        <w:rPr>
          <w:rFonts w:ascii="Arial" w:hAnsi="Arial" w:cs="Arial"/>
          <w:color w:val="333333"/>
          <w:sz w:val="21"/>
          <w:szCs w:val="21"/>
        </w:rPr>
        <w:t xml:space="preserve"> в виде функционального интеграла по бозе-</w:t>
      </w:r>
      <w:proofErr w:type="spellStart"/>
      <w:r>
        <w:rPr>
          <w:rFonts w:ascii="Arial" w:hAnsi="Arial" w:cs="Arial"/>
          <w:color w:val="333333"/>
          <w:sz w:val="21"/>
          <w:szCs w:val="21"/>
        </w:rPr>
        <w:t>полга</w:t>
      </w:r>
      <w:proofErr w:type="spellEnd"/>
      <w:r>
        <w:rPr>
          <w:rFonts w:ascii="Arial" w:hAnsi="Arial" w:cs="Arial"/>
          <w:color w:val="333333"/>
          <w:sz w:val="21"/>
          <w:szCs w:val="21"/>
        </w:rPr>
        <w:t>.</w:t>
      </w:r>
    </w:p>
    <w:p w14:paraId="49BE74D4"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6. Асимптотика при </w:t>
      </w:r>
      <w:proofErr w:type="gramStart"/>
      <w:r>
        <w:rPr>
          <w:rFonts w:ascii="Arial" w:hAnsi="Arial" w:cs="Arial"/>
          <w:color w:val="333333"/>
          <w:sz w:val="21"/>
          <w:szCs w:val="21"/>
        </w:rPr>
        <w:t>Т&gt;ТС</w:t>
      </w:r>
      <w:proofErr w:type="gramEnd"/>
      <w:r>
        <w:rPr>
          <w:rFonts w:ascii="Arial" w:hAnsi="Arial" w:cs="Arial"/>
          <w:color w:val="333333"/>
          <w:sz w:val="21"/>
          <w:szCs w:val="21"/>
        </w:rPr>
        <w:t>.</w:t>
      </w:r>
    </w:p>
    <w:p w14:paraId="2A94D25E"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Асимптотика %0 ПР1'1 Т^Т,».</w:t>
      </w:r>
    </w:p>
    <w:p w14:paraId="2A572276"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Асимптотика в окрестности точки фазового перехода.</w:t>
      </w:r>
    </w:p>
    <w:p w14:paraId="6BD1D930"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Функции Грина.</w:t>
      </w:r>
    </w:p>
    <w:p w14:paraId="6C85FBD9"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ПНФЛЕНЕНИЕ МЕТОДА ФУШЩОМЛЬНОГО ИНТЕГРИРОВАНИЯ ТЕОРИИ ЛАЗЕРА.</w:t>
      </w:r>
    </w:p>
    <w:p w14:paraId="6B1BA5F2"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10.Метод</w:t>
      </w:r>
      <w:proofErr w:type="gramEnd"/>
      <w:r>
        <w:rPr>
          <w:rFonts w:ascii="Arial" w:hAnsi="Arial" w:cs="Arial"/>
          <w:color w:val="333333"/>
          <w:sz w:val="21"/>
          <w:szCs w:val="21"/>
        </w:rPr>
        <w:t xml:space="preserve"> функционального интегрирования в теории неравновесных процессов.</w:t>
      </w:r>
    </w:p>
    <w:p w14:paraId="1EBA2755"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Нефункциональный интеграл для модели лазера</w:t>
      </w:r>
    </w:p>
    <w:p w14:paraId="6683A970"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12.Вычисление</w:t>
      </w:r>
      <w:proofErr w:type="gramEnd"/>
      <w:r>
        <w:rPr>
          <w:rFonts w:ascii="Arial" w:hAnsi="Arial" w:cs="Arial"/>
          <w:color w:val="333333"/>
          <w:sz w:val="21"/>
          <w:szCs w:val="21"/>
        </w:rPr>
        <w:t xml:space="preserve"> матрицы плотности двухуровневой системы в классическом поле.</w:t>
      </w:r>
    </w:p>
    <w:p w14:paraId="64082B6A"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13 .Уравнения</w:t>
      </w:r>
      <w:proofErr w:type="gramEnd"/>
      <w:r>
        <w:rPr>
          <w:rFonts w:ascii="Arial" w:hAnsi="Arial" w:cs="Arial"/>
          <w:color w:val="333333"/>
          <w:sz w:val="21"/>
          <w:szCs w:val="21"/>
        </w:rPr>
        <w:t xml:space="preserve"> движения лазерного поля.</w:t>
      </w:r>
    </w:p>
    <w:p w14:paraId="287679C5" w14:textId="77777777" w:rsidR="00B16D5A" w:rsidRDefault="00B16D5A" w:rsidP="00B16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ГОШОШЖЗ I. Вычисление функции -</w:t>
      </w:r>
      <w:proofErr w:type="spellStart"/>
      <w:r>
        <w:rPr>
          <w:rFonts w:ascii="Arial" w:hAnsi="Arial" w:cs="Arial"/>
          <w:color w:val="333333"/>
          <w:sz w:val="21"/>
          <w:szCs w:val="21"/>
        </w:rPr>
        <w:t>Qk.icJu</w:t>
      </w:r>
      <w:proofErr w:type="spellEnd"/>
      <w:r>
        <w:rPr>
          <w:rFonts w:ascii="Arial" w:hAnsi="Arial" w:cs="Arial"/>
          <w:color w:val="333333"/>
          <w:sz w:val="21"/>
          <w:szCs w:val="21"/>
        </w:rPr>
        <w:t>;)</w:t>
      </w:r>
    </w:p>
    <w:p w14:paraId="69F09626" w14:textId="6D58A847" w:rsidR="005E23AC" w:rsidRPr="00B16D5A" w:rsidRDefault="005E23AC" w:rsidP="00B16D5A"/>
    <w:sectPr w:rsidR="005E23AC" w:rsidRPr="00B16D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99C2" w14:textId="77777777" w:rsidR="007301F6" w:rsidRDefault="007301F6">
      <w:pPr>
        <w:spacing w:after="0" w:line="240" w:lineRule="auto"/>
      </w:pPr>
      <w:r>
        <w:separator/>
      </w:r>
    </w:p>
  </w:endnote>
  <w:endnote w:type="continuationSeparator" w:id="0">
    <w:p w14:paraId="5A1A2823" w14:textId="77777777" w:rsidR="007301F6" w:rsidRDefault="0073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01DA" w14:textId="77777777" w:rsidR="007301F6" w:rsidRDefault="007301F6"/>
    <w:p w14:paraId="35B2DCCA" w14:textId="77777777" w:rsidR="007301F6" w:rsidRDefault="007301F6"/>
    <w:p w14:paraId="29CD0DFF" w14:textId="77777777" w:rsidR="007301F6" w:rsidRDefault="007301F6"/>
    <w:p w14:paraId="3A9EB698" w14:textId="77777777" w:rsidR="007301F6" w:rsidRDefault="007301F6"/>
    <w:p w14:paraId="75CFBF94" w14:textId="77777777" w:rsidR="007301F6" w:rsidRDefault="007301F6"/>
    <w:p w14:paraId="3DF59337" w14:textId="77777777" w:rsidR="007301F6" w:rsidRDefault="007301F6"/>
    <w:p w14:paraId="111D87F7" w14:textId="77777777" w:rsidR="007301F6" w:rsidRDefault="007301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039D5" wp14:editId="761763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9A913" w14:textId="77777777" w:rsidR="007301F6" w:rsidRDefault="007301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039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9A913" w14:textId="77777777" w:rsidR="007301F6" w:rsidRDefault="007301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F5C02F" w14:textId="77777777" w:rsidR="007301F6" w:rsidRDefault="007301F6"/>
    <w:p w14:paraId="52DAA06B" w14:textId="77777777" w:rsidR="007301F6" w:rsidRDefault="007301F6"/>
    <w:p w14:paraId="2848FE71" w14:textId="77777777" w:rsidR="007301F6" w:rsidRDefault="007301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460FB7" wp14:editId="6CD5DE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23B42" w14:textId="77777777" w:rsidR="007301F6" w:rsidRDefault="007301F6"/>
                          <w:p w14:paraId="6D583C06" w14:textId="77777777" w:rsidR="007301F6" w:rsidRDefault="007301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60F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723B42" w14:textId="77777777" w:rsidR="007301F6" w:rsidRDefault="007301F6"/>
                    <w:p w14:paraId="6D583C06" w14:textId="77777777" w:rsidR="007301F6" w:rsidRDefault="007301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55F92A" w14:textId="77777777" w:rsidR="007301F6" w:rsidRDefault="007301F6"/>
    <w:p w14:paraId="64447801" w14:textId="77777777" w:rsidR="007301F6" w:rsidRDefault="007301F6">
      <w:pPr>
        <w:rPr>
          <w:sz w:val="2"/>
          <w:szCs w:val="2"/>
        </w:rPr>
      </w:pPr>
    </w:p>
    <w:p w14:paraId="31BC9D99" w14:textId="77777777" w:rsidR="007301F6" w:rsidRDefault="007301F6"/>
    <w:p w14:paraId="2BF6CB41" w14:textId="77777777" w:rsidR="007301F6" w:rsidRDefault="007301F6">
      <w:pPr>
        <w:spacing w:after="0" w:line="240" w:lineRule="auto"/>
      </w:pPr>
    </w:p>
  </w:footnote>
  <w:footnote w:type="continuationSeparator" w:id="0">
    <w:p w14:paraId="1A12A1F9" w14:textId="77777777" w:rsidR="007301F6" w:rsidRDefault="0073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1F6"/>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150649</TotalTime>
  <Pages>2</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4291</cp:revision>
  <cp:lastPrinted>2009-02-06T05:36:00Z</cp:lastPrinted>
  <dcterms:created xsi:type="dcterms:W3CDTF">2024-01-07T13:43:00Z</dcterms:created>
  <dcterms:modified xsi:type="dcterms:W3CDTF">2025-08-22T02:12:00Z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