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72460" w14:textId="77777777" w:rsidR="00A35A1A" w:rsidRDefault="00A35A1A" w:rsidP="00A35A1A">
      <w:pPr>
        <w:pStyle w:val="afffffffffffffffffffffffffff5"/>
        <w:rPr>
          <w:rFonts w:ascii="Verdana" w:hAnsi="Verdana"/>
          <w:color w:val="000000"/>
          <w:sz w:val="21"/>
          <w:szCs w:val="21"/>
        </w:rPr>
      </w:pPr>
      <w:r>
        <w:rPr>
          <w:rFonts w:ascii="Helvetica" w:hAnsi="Helvetica" w:cs="Helvetica"/>
          <w:b/>
          <w:bCs w:val="0"/>
          <w:color w:val="222222"/>
          <w:sz w:val="21"/>
          <w:szCs w:val="21"/>
        </w:rPr>
        <w:t>Прокофьев, Вадим Вячеславович.</w:t>
      </w:r>
    </w:p>
    <w:p w14:paraId="72DB6E9C" w14:textId="77777777" w:rsidR="00A35A1A" w:rsidRDefault="00A35A1A" w:rsidP="00A35A1A">
      <w:pPr>
        <w:pStyle w:val="20"/>
        <w:spacing w:before="0" w:after="312"/>
        <w:rPr>
          <w:rFonts w:ascii="Arial" w:hAnsi="Arial" w:cs="Arial"/>
          <w:caps/>
          <w:color w:val="333333"/>
          <w:sz w:val="27"/>
          <w:szCs w:val="27"/>
        </w:rPr>
      </w:pPr>
      <w:r>
        <w:rPr>
          <w:rFonts w:ascii="Helvetica" w:hAnsi="Helvetica" w:cs="Helvetica"/>
          <w:caps/>
          <w:color w:val="222222"/>
          <w:sz w:val="21"/>
          <w:szCs w:val="21"/>
        </w:rPr>
        <w:t>Интегрируемые иерархии нелинейных дифференциальных уравнений и многочастичные системы = Integrable hierarchies of nonlinear differentialequations and many-body systems : Integrable hierarchies of nonlinear differentialequations and many-body systems : диссертация ... кандидата физико-математических наук : 01.01.03 / Vadim Prokofev; [Место защиты: ФГАОУ ВО «Национальный исследовательский университет «Высшая школа экономики»]. - Москва, 2022. - 148 с. : ил.</w:t>
      </w:r>
    </w:p>
    <w:p w14:paraId="672F3A8D" w14:textId="77777777" w:rsidR="00A35A1A" w:rsidRDefault="00A35A1A" w:rsidP="00A35A1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Прокофьев Вадим Вячеславович</w:t>
      </w:r>
    </w:p>
    <w:p w14:paraId="19E61202" w14:textId="77777777" w:rsidR="00A35A1A" w:rsidRPr="00A35A1A" w:rsidRDefault="00A35A1A" w:rsidP="00A35A1A">
      <w:pPr>
        <w:pStyle w:val="afffffffffffffffffffffffffff5"/>
        <w:spacing w:before="0" w:beforeAutospacing="0" w:after="312" w:afterAutospacing="0"/>
        <w:rPr>
          <w:rFonts w:ascii="Arial" w:hAnsi="Arial" w:cs="Arial"/>
          <w:color w:val="333333"/>
          <w:sz w:val="21"/>
          <w:szCs w:val="21"/>
          <w:lang w:val="en-US"/>
        </w:rPr>
      </w:pPr>
      <w:r w:rsidRPr="00A35A1A">
        <w:rPr>
          <w:rFonts w:ascii="Arial" w:hAnsi="Arial" w:cs="Arial"/>
          <w:color w:val="333333"/>
          <w:sz w:val="21"/>
          <w:szCs w:val="21"/>
          <w:lang w:val="en-US"/>
        </w:rPr>
        <w:t>Contents</w:t>
      </w:r>
    </w:p>
    <w:p w14:paraId="2A4DA7F3" w14:textId="77777777" w:rsidR="00A35A1A" w:rsidRPr="00A35A1A" w:rsidRDefault="00A35A1A" w:rsidP="00A35A1A">
      <w:pPr>
        <w:pStyle w:val="afffffffffffffffffffffffffff5"/>
        <w:spacing w:before="0" w:beforeAutospacing="0" w:after="312" w:afterAutospacing="0"/>
        <w:rPr>
          <w:rFonts w:ascii="Arial" w:hAnsi="Arial" w:cs="Arial"/>
          <w:color w:val="333333"/>
          <w:sz w:val="21"/>
          <w:szCs w:val="21"/>
          <w:lang w:val="en-US"/>
        </w:rPr>
      </w:pPr>
      <w:r w:rsidRPr="00A35A1A">
        <w:rPr>
          <w:rFonts w:ascii="Arial" w:hAnsi="Arial" w:cs="Arial"/>
          <w:color w:val="333333"/>
          <w:sz w:val="21"/>
          <w:szCs w:val="21"/>
          <w:lang w:val="en-US"/>
        </w:rPr>
        <w:t>Introduction</w:t>
      </w:r>
    </w:p>
    <w:p w14:paraId="0030EB39" w14:textId="77777777" w:rsidR="00A35A1A" w:rsidRPr="00A35A1A" w:rsidRDefault="00A35A1A" w:rsidP="00A35A1A">
      <w:pPr>
        <w:pStyle w:val="afffffffffffffffffffffffffff5"/>
        <w:spacing w:before="0" w:beforeAutospacing="0" w:after="312" w:afterAutospacing="0"/>
        <w:rPr>
          <w:rFonts w:ascii="Arial" w:hAnsi="Arial" w:cs="Arial"/>
          <w:color w:val="333333"/>
          <w:sz w:val="21"/>
          <w:szCs w:val="21"/>
          <w:lang w:val="en-US"/>
        </w:rPr>
      </w:pPr>
      <w:r w:rsidRPr="00A35A1A">
        <w:rPr>
          <w:rFonts w:ascii="Arial" w:hAnsi="Arial" w:cs="Arial"/>
          <w:color w:val="333333"/>
          <w:sz w:val="21"/>
          <w:szCs w:val="21"/>
          <w:lang w:val="en-US"/>
        </w:rPr>
        <w:t>1 Historical remarks</w:t>
      </w:r>
    </w:p>
    <w:p w14:paraId="6FBCAA4B" w14:textId="77777777" w:rsidR="00A35A1A" w:rsidRPr="00A35A1A" w:rsidRDefault="00A35A1A" w:rsidP="00A35A1A">
      <w:pPr>
        <w:pStyle w:val="afffffffffffffffffffffffffff5"/>
        <w:spacing w:before="0" w:beforeAutospacing="0" w:after="312" w:afterAutospacing="0"/>
        <w:rPr>
          <w:rFonts w:ascii="Arial" w:hAnsi="Arial" w:cs="Arial"/>
          <w:color w:val="333333"/>
          <w:sz w:val="21"/>
          <w:szCs w:val="21"/>
          <w:lang w:val="en-US"/>
        </w:rPr>
      </w:pPr>
      <w:r w:rsidRPr="00A35A1A">
        <w:rPr>
          <w:rFonts w:ascii="Arial" w:hAnsi="Arial" w:cs="Arial"/>
          <w:color w:val="333333"/>
          <w:sz w:val="21"/>
          <w:szCs w:val="21"/>
          <w:lang w:val="en-US"/>
        </w:rPr>
        <w:t>1.1 Nonlinear differential hierarchies</w:t>
      </w:r>
    </w:p>
    <w:p w14:paraId="33DDEF1E" w14:textId="77777777" w:rsidR="00A35A1A" w:rsidRPr="00A35A1A" w:rsidRDefault="00A35A1A" w:rsidP="00A35A1A">
      <w:pPr>
        <w:pStyle w:val="afffffffffffffffffffffffffff5"/>
        <w:spacing w:before="0" w:beforeAutospacing="0" w:after="312" w:afterAutospacing="0"/>
        <w:rPr>
          <w:rFonts w:ascii="Arial" w:hAnsi="Arial" w:cs="Arial"/>
          <w:color w:val="333333"/>
          <w:sz w:val="21"/>
          <w:szCs w:val="21"/>
          <w:lang w:val="en-US"/>
        </w:rPr>
      </w:pPr>
      <w:r w:rsidRPr="00A35A1A">
        <w:rPr>
          <w:rFonts w:ascii="Arial" w:hAnsi="Arial" w:cs="Arial"/>
          <w:color w:val="333333"/>
          <w:sz w:val="21"/>
          <w:szCs w:val="21"/>
          <w:lang w:val="en-US"/>
        </w:rPr>
        <w:t>1.2 Many body systems</w:t>
      </w:r>
    </w:p>
    <w:p w14:paraId="642B1B1A" w14:textId="77777777" w:rsidR="00A35A1A" w:rsidRPr="00A35A1A" w:rsidRDefault="00A35A1A" w:rsidP="00A35A1A">
      <w:pPr>
        <w:pStyle w:val="afffffffffffffffffffffffffff5"/>
        <w:spacing w:before="0" w:beforeAutospacing="0" w:after="312" w:afterAutospacing="0"/>
        <w:rPr>
          <w:rFonts w:ascii="Arial" w:hAnsi="Arial" w:cs="Arial"/>
          <w:color w:val="333333"/>
          <w:sz w:val="21"/>
          <w:szCs w:val="21"/>
          <w:lang w:val="en-US"/>
        </w:rPr>
      </w:pPr>
      <w:r w:rsidRPr="00A35A1A">
        <w:rPr>
          <w:rFonts w:ascii="Arial" w:hAnsi="Arial" w:cs="Arial"/>
          <w:color w:val="333333"/>
          <w:sz w:val="21"/>
          <w:szCs w:val="21"/>
          <w:lang w:val="en-US"/>
        </w:rPr>
        <w:t>2 Tau function and bilinear equation</w:t>
      </w:r>
    </w:p>
    <w:p w14:paraId="64BBA00A" w14:textId="77777777" w:rsidR="00A35A1A" w:rsidRPr="00A35A1A" w:rsidRDefault="00A35A1A" w:rsidP="00A35A1A">
      <w:pPr>
        <w:pStyle w:val="afffffffffffffffffffffffffff5"/>
        <w:spacing w:before="0" w:beforeAutospacing="0" w:after="312" w:afterAutospacing="0"/>
        <w:rPr>
          <w:rFonts w:ascii="Arial" w:hAnsi="Arial" w:cs="Arial"/>
          <w:color w:val="333333"/>
          <w:sz w:val="21"/>
          <w:szCs w:val="21"/>
          <w:lang w:val="en-US"/>
        </w:rPr>
      </w:pPr>
      <w:r w:rsidRPr="00A35A1A">
        <w:rPr>
          <w:rFonts w:ascii="Arial" w:hAnsi="Arial" w:cs="Arial"/>
          <w:color w:val="333333"/>
          <w:sz w:val="21"/>
          <w:szCs w:val="21"/>
          <w:lang w:val="en-US"/>
        </w:rPr>
        <w:t>2.1 Baker-Akhiezer function</w:t>
      </w:r>
    </w:p>
    <w:p w14:paraId="0CF7998B" w14:textId="77777777" w:rsidR="00A35A1A" w:rsidRPr="00A35A1A" w:rsidRDefault="00A35A1A" w:rsidP="00A35A1A">
      <w:pPr>
        <w:pStyle w:val="afffffffffffffffffffffffffff5"/>
        <w:spacing w:before="0" w:beforeAutospacing="0" w:after="312" w:afterAutospacing="0"/>
        <w:rPr>
          <w:rFonts w:ascii="Arial" w:hAnsi="Arial" w:cs="Arial"/>
          <w:color w:val="333333"/>
          <w:sz w:val="21"/>
          <w:szCs w:val="21"/>
          <w:lang w:val="en-US"/>
        </w:rPr>
      </w:pPr>
      <w:r w:rsidRPr="00A35A1A">
        <w:rPr>
          <w:rFonts w:ascii="Arial" w:hAnsi="Arial" w:cs="Arial"/>
          <w:color w:val="333333"/>
          <w:sz w:val="21"/>
          <w:szCs w:val="21"/>
          <w:lang w:val="en-US"/>
        </w:rPr>
        <w:t>2.2 Tau function</w:t>
      </w:r>
    </w:p>
    <w:p w14:paraId="11CA3148" w14:textId="77777777" w:rsidR="00A35A1A" w:rsidRPr="00A35A1A" w:rsidRDefault="00A35A1A" w:rsidP="00A35A1A">
      <w:pPr>
        <w:pStyle w:val="afffffffffffffffffffffffffff5"/>
        <w:spacing w:before="0" w:beforeAutospacing="0" w:after="312" w:afterAutospacing="0"/>
        <w:rPr>
          <w:rFonts w:ascii="Arial" w:hAnsi="Arial" w:cs="Arial"/>
          <w:color w:val="333333"/>
          <w:sz w:val="21"/>
          <w:szCs w:val="21"/>
          <w:lang w:val="en-US"/>
        </w:rPr>
      </w:pPr>
      <w:r w:rsidRPr="00A35A1A">
        <w:rPr>
          <w:rFonts w:ascii="Arial" w:hAnsi="Arial" w:cs="Arial"/>
          <w:color w:val="333333"/>
          <w:sz w:val="21"/>
          <w:szCs w:val="21"/>
          <w:lang w:val="en-US"/>
        </w:rPr>
        <w:t>3 Further Generalizations</w:t>
      </w:r>
    </w:p>
    <w:p w14:paraId="14D14B16" w14:textId="77777777" w:rsidR="00A35A1A" w:rsidRPr="00A35A1A" w:rsidRDefault="00A35A1A" w:rsidP="00A35A1A">
      <w:pPr>
        <w:pStyle w:val="afffffffffffffffffffffffffff5"/>
        <w:spacing w:before="0" w:beforeAutospacing="0" w:after="312" w:afterAutospacing="0"/>
        <w:rPr>
          <w:rFonts w:ascii="Arial" w:hAnsi="Arial" w:cs="Arial"/>
          <w:color w:val="333333"/>
          <w:sz w:val="21"/>
          <w:szCs w:val="21"/>
          <w:lang w:val="en-US"/>
        </w:rPr>
      </w:pPr>
      <w:r w:rsidRPr="00A35A1A">
        <w:rPr>
          <w:rFonts w:ascii="Arial" w:hAnsi="Arial" w:cs="Arial"/>
          <w:color w:val="333333"/>
          <w:sz w:val="21"/>
          <w:szCs w:val="21"/>
          <w:lang w:val="en-US"/>
        </w:rPr>
        <w:t>3.1 Modified KP</w:t>
      </w:r>
    </w:p>
    <w:p w14:paraId="3C3A39BF" w14:textId="77777777" w:rsidR="00A35A1A" w:rsidRPr="00A35A1A" w:rsidRDefault="00A35A1A" w:rsidP="00A35A1A">
      <w:pPr>
        <w:pStyle w:val="afffffffffffffffffffffffffff5"/>
        <w:spacing w:before="0" w:beforeAutospacing="0" w:after="312" w:afterAutospacing="0"/>
        <w:rPr>
          <w:rFonts w:ascii="Arial" w:hAnsi="Arial" w:cs="Arial"/>
          <w:color w:val="333333"/>
          <w:sz w:val="21"/>
          <w:szCs w:val="21"/>
          <w:lang w:val="en-US"/>
        </w:rPr>
      </w:pPr>
      <w:r w:rsidRPr="00A35A1A">
        <w:rPr>
          <w:rFonts w:ascii="Arial" w:hAnsi="Arial" w:cs="Arial"/>
          <w:color w:val="333333"/>
          <w:sz w:val="21"/>
          <w:szCs w:val="21"/>
          <w:lang w:val="en-US"/>
        </w:rPr>
        <w:t>3.2 0Î((œ)) algebra and 2d Toda hierarchy</w:t>
      </w:r>
    </w:p>
    <w:p w14:paraId="20C63B6A" w14:textId="77777777" w:rsidR="00A35A1A" w:rsidRPr="00A35A1A" w:rsidRDefault="00A35A1A" w:rsidP="00A35A1A">
      <w:pPr>
        <w:pStyle w:val="afffffffffffffffffffffffffff5"/>
        <w:spacing w:before="0" w:beforeAutospacing="0" w:after="312" w:afterAutospacing="0"/>
        <w:rPr>
          <w:rFonts w:ascii="Arial" w:hAnsi="Arial" w:cs="Arial"/>
          <w:color w:val="333333"/>
          <w:sz w:val="21"/>
          <w:szCs w:val="21"/>
          <w:lang w:val="en-US"/>
        </w:rPr>
      </w:pPr>
      <w:r w:rsidRPr="00A35A1A">
        <w:rPr>
          <w:rFonts w:ascii="Arial" w:hAnsi="Arial" w:cs="Arial"/>
          <w:color w:val="333333"/>
          <w:sz w:val="21"/>
          <w:szCs w:val="21"/>
          <w:lang w:val="en-US"/>
        </w:rPr>
        <w:t>3.3 Multi-component KP hierarchy</w:t>
      </w:r>
    </w:p>
    <w:p w14:paraId="6FE221FA" w14:textId="77777777" w:rsidR="00A35A1A" w:rsidRPr="00A35A1A" w:rsidRDefault="00A35A1A" w:rsidP="00A35A1A">
      <w:pPr>
        <w:pStyle w:val="afffffffffffffffffffffffffff5"/>
        <w:spacing w:before="0" w:beforeAutospacing="0" w:after="312" w:afterAutospacing="0"/>
        <w:rPr>
          <w:rFonts w:ascii="Arial" w:hAnsi="Arial" w:cs="Arial"/>
          <w:color w:val="333333"/>
          <w:sz w:val="21"/>
          <w:szCs w:val="21"/>
          <w:lang w:val="en-US"/>
        </w:rPr>
      </w:pPr>
      <w:r w:rsidRPr="00A35A1A">
        <w:rPr>
          <w:rFonts w:ascii="Arial" w:hAnsi="Arial" w:cs="Arial"/>
          <w:color w:val="333333"/>
          <w:sz w:val="21"/>
          <w:szCs w:val="21"/>
          <w:lang w:val="en-US"/>
        </w:rPr>
        <w:t>4 Main Results</w:t>
      </w:r>
    </w:p>
    <w:p w14:paraId="513E772B" w14:textId="77777777" w:rsidR="00A35A1A" w:rsidRPr="00A35A1A" w:rsidRDefault="00A35A1A" w:rsidP="00A35A1A">
      <w:pPr>
        <w:pStyle w:val="afffffffffffffffffffffffffff5"/>
        <w:spacing w:before="0" w:beforeAutospacing="0" w:after="312" w:afterAutospacing="0"/>
        <w:rPr>
          <w:rFonts w:ascii="Arial" w:hAnsi="Arial" w:cs="Arial"/>
          <w:color w:val="333333"/>
          <w:sz w:val="21"/>
          <w:szCs w:val="21"/>
          <w:lang w:val="en-US"/>
        </w:rPr>
      </w:pPr>
      <w:r w:rsidRPr="00A35A1A">
        <w:rPr>
          <w:rFonts w:ascii="Arial" w:hAnsi="Arial" w:cs="Arial"/>
          <w:color w:val="333333"/>
          <w:sz w:val="21"/>
          <w:szCs w:val="21"/>
          <w:lang w:val="en-US"/>
        </w:rPr>
        <w:t>4.1 KP hierarchy</w:t>
      </w:r>
    </w:p>
    <w:p w14:paraId="646E967E" w14:textId="77777777" w:rsidR="00A35A1A" w:rsidRPr="00A35A1A" w:rsidRDefault="00A35A1A" w:rsidP="00A35A1A">
      <w:pPr>
        <w:pStyle w:val="afffffffffffffffffffffffffff5"/>
        <w:spacing w:before="0" w:beforeAutospacing="0" w:after="312" w:afterAutospacing="0"/>
        <w:rPr>
          <w:rFonts w:ascii="Arial" w:hAnsi="Arial" w:cs="Arial"/>
          <w:color w:val="333333"/>
          <w:sz w:val="21"/>
          <w:szCs w:val="21"/>
          <w:lang w:val="en-US"/>
        </w:rPr>
      </w:pPr>
      <w:r w:rsidRPr="00A35A1A">
        <w:rPr>
          <w:rFonts w:ascii="Arial" w:hAnsi="Arial" w:cs="Arial"/>
          <w:color w:val="333333"/>
          <w:sz w:val="21"/>
          <w:szCs w:val="21"/>
          <w:lang w:val="en-US"/>
        </w:rPr>
        <w:t>4.2 2d Toda hierarchy</w:t>
      </w:r>
    </w:p>
    <w:p w14:paraId="019052DE" w14:textId="77777777" w:rsidR="00A35A1A" w:rsidRPr="00A35A1A" w:rsidRDefault="00A35A1A" w:rsidP="00A35A1A">
      <w:pPr>
        <w:pStyle w:val="afffffffffffffffffffffffffff5"/>
        <w:spacing w:before="0" w:beforeAutospacing="0" w:after="312" w:afterAutospacing="0"/>
        <w:rPr>
          <w:rFonts w:ascii="Arial" w:hAnsi="Arial" w:cs="Arial"/>
          <w:color w:val="333333"/>
          <w:sz w:val="21"/>
          <w:szCs w:val="21"/>
          <w:lang w:val="en-US"/>
        </w:rPr>
      </w:pPr>
      <w:r w:rsidRPr="00A35A1A">
        <w:rPr>
          <w:rFonts w:ascii="Arial" w:hAnsi="Arial" w:cs="Arial"/>
          <w:color w:val="333333"/>
          <w:sz w:val="21"/>
          <w:szCs w:val="21"/>
          <w:lang w:val="en-US"/>
        </w:rPr>
        <w:t>4.3 Matrix KP</w:t>
      </w:r>
    </w:p>
    <w:p w14:paraId="18C7C220" w14:textId="77777777" w:rsidR="00A35A1A" w:rsidRPr="00A35A1A" w:rsidRDefault="00A35A1A" w:rsidP="00A35A1A">
      <w:pPr>
        <w:pStyle w:val="afffffffffffffffffffffffffff5"/>
        <w:spacing w:before="0" w:beforeAutospacing="0" w:after="312" w:afterAutospacing="0"/>
        <w:rPr>
          <w:rFonts w:ascii="Arial" w:hAnsi="Arial" w:cs="Arial"/>
          <w:color w:val="333333"/>
          <w:sz w:val="21"/>
          <w:szCs w:val="21"/>
          <w:lang w:val="en-US"/>
        </w:rPr>
      </w:pPr>
      <w:r w:rsidRPr="00A35A1A">
        <w:rPr>
          <w:rFonts w:ascii="Arial" w:hAnsi="Arial" w:cs="Arial"/>
          <w:color w:val="333333"/>
          <w:sz w:val="21"/>
          <w:szCs w:val="21"/>
          <w:lang w:val="en-US"/>
        </w:rPr>
        <w:t>Bibliography</w:t>
      </w:r>
    </w:p>
    <w:p w14:paraId="426F174C" w14:textId="77777777" w:rsidR="00A35A1A" w:rsidRPr="00A35A1A" w:rsidRDefault="00A35A1A" w:rsidP="00A35A1A">
      <w:pPr>
        <w:pStyle w:val="afffffffffffffffffffffffffff5"/>
        <w:spacing w:before="0" w:beforeAutospacing="0" w:after="312" w:afterAutospacing="0"/>
        <w:rPr>
          <w:rFonts w:ascii="Arial" w:hAnsi="Arial" w:cs="Arial"/>
          <w:color w:val="333333"/>
          <w:sz w:val="21"/>
          <w:szCs w:val="21"/>
          <w:lang w:val="en-US"/>
        </w:rPr>
      </w:pPr>
      <w:r w:rsidRPr="00A35A1A">
        <w:rPr>
          <w:rFonts w:ascii="Arial" w:hAnsi="Arial" w:cs="Arial"/>
          <w:color w:val="333333"/>
          <w:sz w:val="21"/>
          <w:szCs w:val="21"/>
          <w:lang w:val="en-US"/>
        </w:rPr>
        <w:lastRenderedPageBreak/>
        <w:t>Appendix A. Paper 1. Toda lattice hierarchy and trigonometric</w:t>
      </w:r>
    </w:p>
    <w:p w14:paraId="3ADDA380" w14:textId="77777777" w:rsidR="00A35A1A" w:rsidRPr="00A35A1A" w:rsidRDefault="00A35A1A" w:rsidP="00A35A1A">
      <w:pPr>
        <w:pStyle w:val="afffffffffffffffffffffffffff5"/>
        <w:spacing w:before="0" w:beforeAutospacing="0" w:after="312" w:afterAutospacing="0"/>
        <w:rPr>
          <w:rFonts w:ascii="Arial" w:hAnsi="Arial" w:cs="Arial"/>
          <w:color w:val="333333"/>
          <w:sz w:val="21"/>
          <w:szCs w:val="21"/>
          <w:lang w:val="en-US"/>
        </w:rPr>
      </w:pPr>
      <w:r w:rsidRPr="00A35A1A">
        <w:rPr>
          <w:rFonts w:ascii="Arial" w:hAnsi="Arial" w:cs="Arial"/>
          <w:color w:val="333333"/>
          <w:sz w:val="21"/>
          <w:szCs w:val="21"/>
          <w:lang w:val="en-US"/>
        </w:rPr>
        <w:t>Ruijsenaars—Schneider hierarchy</w:t>
      </w:r>
    </w:p>
    <w:p w14:paraId="63D64269" w14:textId="77777777" w:rsidR="00A35A1A" w:rsidRPr="00A35A1A" w:rsidRDefault="00A35A1A" w:rsidP="00A35A1A">
      <w:pPr>
        <w:pStyle w:val="afffffffffffffffffffffffffff5"/>
        <w:spacing w:before="0" w:beforeAutospacing="0" w:after="312" w:afterAutospacing="0"/>
        <w:rPr>
          <w:rFonts w:ascii="Arial" w:hAnsi="Arial" w:cs="Arial"/>
          <w:color w:val="333333"/>
          <w:sz w:val="21"/>
          <w:szCs w:val="21"/>
          <w:lang w:val="en-US"/>
        </w:rPr>
      </w:pPr>
      <w:r w:rsidRPr="00A35A1A">
        <w:rPr>
          <w:rFonts w:ascii="Arial" w:hAnsi="Arial" w:cs="Arial"/>
          <w:color w:val="333333"/>
          <w:sz w:val="21"/>
          <w:szCs w:val="21"/>
          <w:lang w:val="en-US"/>
        </w:rPr>
        <w:t>Appendix B. Paper 2. Matrix Kadomtsev-Petviashvili Hierarchy and Spin Generalization of Trigonometric Calogero Moser Hierarchy</w:t>
      </w:r>
    </w:p>
    <w:p w14:paraId="2DBE98FA" w14:textId="77777777" w:rsidR="00A35A1A" w:rsidRDefault="00A35A1A" w:rsidP="00A35A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Appendix C. Paper 3. Elliptic solutions to the KP hierarchy and</w:t>
      </w:r>
    </w:p>
    <w:p w14:paraId="03FF78B4" w14:textId="77777777" w:rsidR="00A35A1A" w:rsidRDefault="00A35A1A" w:rsidP="00A35A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elliptic Calogero—Moser model</w:t>
      </w:r>
    </w:p>
    <w:p w14:paraId="7AC6489C" w14:textId="77777777" w:rsidR="00A35A1A" w:rsidRDefault="00A35A1A" w:rsidP="00A35A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Appendix D. Paper 4. Elliptic solutions to Toda lattice hierarchy</w:t>
      </w:r>
    </w:p>
    <w:p w14:paraId="23DC83DB" w14:textId="77777777" w:rsidR="00A35A1A" w:rsidRDefault="00A35A1A" w:rsidP="00A35A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and elliptic Ruijsenaars-Schneider model</w:t>
      </w:r>
    </w:p>
    <w:p w14:paraId="5DBB33B6" w14:textId="77777777" w:rsidR="00A35A1A" w:rsidRDefault="00A35A1A" w:rsidP="00A35A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Appendix E. Paper 5. Elliptic solutions to matrix KP hierarchy and</w:t>
      </w:r>
    </w:p>
    <w:p w14:paraId="71BBAE12" w14:textId="77777777" w:rsidR="00A35A1A" w:rsidRDefault="00A35A1A" w:rsidP="00A35A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spin generalization of elliptic Calogero-Moser model</w:t>
      </w:r>
    </w:p>
    <w:p w14:paraId="54F2B699" w14:textId="0B6A49C2" w:rsidR="00F505A7" w:rsidRPr="00A35A1A" w:rsidRDefault="00F505A7" w:rsidP="00A35A1A"/>
    <w:sectPr w:rsidR="00F505A7" w:rsidRPr="00A35A1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784FB" w14:textId="77777777" w:rsidR="007A4B46" w:rsidRDefault="007A4B46">
      <w:pPr>
        <w:spacing w:after="0" w:line="240" w:lineRule="auto"/>
      </w:pPr>
      <w:r>
        <w:separator/>
      </w:r>
    </w:p>
  </w:endnote>
  <w:endnote w:type="continuationSeparator" w:id="0">
    <w:p w14:paraId="6C5C63FC" w14:textId="77777777" w:rsidR="007A4B46" w:rsidRDefault="007A4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2BAC6" w14:textId="77777777" w:rsidR="007A4B46" w:rsidRDefault="007A4B46"/>
    <w:p w14:paraId="50A43AD6" w14:textId="77777777" w:rsidR="007A4B46" w:rsidRDefault="007A4B46"/>
    <w:p w14:paraId="4771F5CA" w14:textId="77777777" w:rsidR="007A4B46" w:rsidRDefault="007A4B46"/>
    <w:p w14:paraId="79EF1C3F" w14:textId="77777777" w:rsidR="007A4B46" w:rsidRDefault="007A4B46"/>
    <w:p w14:paraId="651BA33B" w14:textId="77777777" w:rsidR="007A4B46" w:rsidRDefault="007A4B46"/>
    <w:p w14:paraId="7052027F" w14:textId="77777777" w:rsidR="007A4B46" w:rsidRDefault="007A4B46"/>
    <w:p w14:paraId="1536A9D7" w14:textId="77777777" w:rsidR="007A4B46" w:rsidRDefault="007A4B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D66311" wp14:editId="2FA332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E1F01" w14:textId="77777777" w:rsidR="007A4B46" w:rsidRDefault="007A4B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D663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FE1F01" w14:textId="77777777" w:rsidR="007A4B46" w:rsidRDefault="007A4B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1E5F90" w14:textId="77777777" w:rsidR="007A4B46" w:rsidRDefault="007A4B46"/>
    <w:p w14:paraId="41451BF0" w14:textId="77777777" w:rsidR="007A4B46" w:rsidRDefault="007A4B46"/>
    <w:p w14:paraId="134D8D26" w14:textId="77777777" w:rsidR="007A4B46" w:rsidRDefault="007A4B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C23E5C" wp14:editId="10DF1B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4CA62" w14:textId="77777777" w:rsidR="007A4B46" w:rsidRDefault="007A4B46"/>
                          <w:p w14:paraId="5F24FC73" w14:textId="77777777" w:rsidR="007A4B46" w:rsidRDefault="007A4B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C23E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94CA62" w14:textId="77777777" w:rsidR="007A4B46" w:rsidRDefault="007A4B46"/>
                    <w:p w14:paraId="5F24FC73" w14:textId="77777777" w:rsidR="007A4B46" w:rsidRDefault="007A4B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2C9ECF" w14:textId="77777777" w:rsidR="007A4B46" w:rsidRDefault="007A4B46"/>
    <w:p w14:paraId="47D520EC" w14:textId="77777777" w:rsidR="007A4B46" w:rsidRDefault="007A4B46">
      <w:pPr>
        <w:rPr>
          <w:sz w:val="2"/>
          <w:szCs w:val="2"/>
        </w:rPr>
      </w:pPr>
    </w:p>
    <w:p w14:paraId="565CE0A4" w14:textId="77777777" w:rsidR="007A4B46" w:rsidRDefault="007A4B46"/>
    <w:p w14:paraId="4422C46D" w14:textId="77777777" w:rsidR="007A4B46" w:rsidRDefault="007A4B46">
      <w:pPr>
        <w:spacing w:after="0" w:line="240" w:lineRule="auto"/>
      </w:pPr>
    </w:p>
  </w:footnote>
  <w:footnote w:type="continuationSeparator" w:id="0">
    <w:p w14:paraId="64FCF528" w14:textId="77777777" w:rsidR="007A4B46" w:rsidRDefault="007A4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46"/>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106326</TotalTime>
  <Pages>2</Pages>
  <Words>221</Words>
  <Characters>1262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1431</cp:revision>
  <cp:lastPrinted>2009-02-06T05:36:00Z</cp:lastPrinted>
  <dcterms:created xsi:type="dcterms:W3CDTF">2024-01-07T13:43:00Z</dcterms:created>
  <dcterms:modified xsi:type="dcterms:W3CDTF">2025-06-04T11:25:00Z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