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3D" w:rsidRPr="0013143D" w:rsidRDefault="0013143D" w:rsidP="0013143D">
      <w:r w:rsidRPr="00D858E0">
        <w:rPr>
          <w:rFonts w:ascii="Times New Roman" w:eastAsia="Calibri" w:hAnsi="Times New Roman" w:cs="Times New Roman"/>
          <w:b/>
          <w:sz w:val="24"/>
          <w:szCs w:val="24"/>
        </w:rPr>
        <w:t xml:space="preserve">Кістяник Володимир Іванович, </w:t>
      </w:r>
      <w:r w:rsidRPr="00D858E0">
        <w:rPr>
          <w:rFonts w:ascii="Times New Roman" w:eastAsia="Calibri" w:hAnsi="Times New Roman" w:cs="Times New Roman"/>
          <w:sz w:val="24"/>
          <w:szCs w:val="24"/>
        </w:rPr>
        <w:t>адвокат.  Назва дисертації:</w:t>
      </w:r>
      <w:r w:rsidRPr="00D858E0">
        <w:rPr>
          <w:rFonts w:ascii="Times New Roman" w:eastAsia="Calibri" w:hAnsi="Times New Roman" w:cs="Times New Roman"/>
          <w:b/>
          <w:i/>
          <w:sz w:val="24"/>
          <w:szCs w:val="24"/>
        </w:rPr>
        <w:t xml:space="preserve"> </w:t>
      </w:r>
      <w:r w:rsidRPr="00D858E0">
        <w:rPr>
          <w:rFonts w:ascii="Times New Roman" w:eastAsia="Calibri" w:hAnsi="Times New Roman" w:cs="Times New Roman"/>
          <w:sz w:val="24"/>
          <w:szCs w:val="24"/>
        </w:rPr>
        <w:t>«Судова аргументація: особливості, порівняльний аналіз та вітчизняна і зарубіжна практика».  Шифр та назва спеціальності</w:t>
      </w:r>
      <w:r w:rsidRPr="00D858E0">
        <w:rPr>
          <w:rFonts w:ascii="Times New Roman" w:eastAsia="Calibri" w:hAnsi="Times New Roman" w:cs="Times New Roman"/>
          <w:b/>
          <w:i/>
          <w:sz w:val="24"/>
          <w:szCs w:val="24"/>
        </w:rPr>
        <w:t xml:space="preserve"> </w:t>
      </w:r>
      <w:r w:rsidRPr="00D858E0">
        <w:rPr>
          <w:rFonts w:ascii="Times New Roman" w:eastAsia="Calibri" w:hAnsi="Times New Roman" w:cs="Times New Roman"/>
          <w:sz w:val="24"/>
          <w:szCs w:val="24"/>
        </w:rPr>
        <w:t>– 12.00.01 – теорія та історія держави і права; історія політичних і правових учень. Спецрада K 26.008.04 Національного університету «Києво-Могилянська академія»</w:t>
      </w:r>
    </w:p>
    <w:sectPr w:rsidR="0013143D" w:rsidRPr="0013143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55841">
                <w:pPr>
                  <w:spacing w:line="240" w:lineRule="auto"/>
                </w:pPr>
                <w:fldSimple w:instr=" PAGE \* MERGEFORMAT ">
                  <w:r w:rsidR="005B183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55841">
                <w:pPr>
                  <w:spacing w:line="240" w:lineRule="auto"/>
                </w:pPr>
                <w:fldSimple w:instr=" PAGE \* MERGEFORMAT ">
                  <w:r w:rsidR="0013143D" w:rsidRPr="0013143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55841">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55841">
                  <w:pPr>
                    <w:spacing w:line="240" w:lineRule="auto"/>
                  </w:pPr>
                  <w:fldSimple w:instr=" PAGE \* MERGEFORMAT ">
                    <w:r w:rsidR="005B1831"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55841">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55841">
                  <w:pPr>
                    <w:pStyle w:val="1ffffff7"/>
                    <w:spacing w:line="240" w:lineRule="auto"/>
                  </w:pPr>
                  <w:fldSimple w:instr=" PAGE \* MERGEFORMAT ">
                    <w:r w:rsidR="005B1831"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441C2-18EA-4462-91DE-9E88EC4E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50</Words>
  <Characters>290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2021-08-07T14:50:00Z</dcterms:created>
  <dcterms:modified xsi:type="dcterms:W3CDTF">2021-08-07T15:05:00Z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