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65C5FE5" w:rsidR="00993EB9" w:rsidRPr="0069003C" w:rsidRDefault="0069003C" w:rsidP="0069003C">
      <w:r>
        <w:rPr>
          <w:rFonts w:ascii="Verdana" w:hAnsi="Verdana"/>
          <w:b/>
          <w:bCs/>
          <w:color w:val="000000"/>
          <w:shd w:val="clear" w:color="auto" w:fill="FFFFFF"/>
        </w:rPr>
        <w:t>Добровольська Леся Іванівна. Клініко-патогенетичне обґрунтування ролі вірусу Епштейна-Барр та цитомегаловірусної інфекції у розвитку хронічної гастродуоденальної патології у дітей.- Дисертація канд. мед. наук: 14.01.10, Держ. вищ. навч. закл. "Терноп. держ. мед. ун-т ім. І. Я. Горбачевського МОЗ України". - Т., 2013.- 250 с.</w:t>
      </w:r>
    </w:p>
    <w:sectPr w:rsidR="00993EB9" w:rsidRPr="0069003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C217" w14:textId="77777777" w:rsidR="00F912A2" w:rsidRDefault="00F912A2">
      <w:pPr>
        <w:spacing w:after="0" w:line="240" w:lineRule="auto"/>
      </w:pPr>
      <w:r>
        <w:separator/>
      </w:r>
    </w:p>
  </w:endnote>
  <w:endnote w:type="continuationSeparator" w:id="0">
    <w:p w14:paraId="787BC377" w14:textId="77777777" w:rsidR="00F912A2" w:rsidRDefault="00F9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23AB" w14:textId="77777777" w:rsidR="00F912A2" w:rsidRDefault="00F912A2">
      <w:pPr>
        <w:spacing w:after="0" w:line="240" w:lineRule="auto"/>
      </w:pPr>
      <w:r>
        <w:separator/>
      </w:r>
    </w:p>
  </w:footnote>
  <w:footnote w:type="continuationSeparator" w:id="0">
    <w:p w14:paraId="6EDAA06C" w14:textId="77777777" w:rsidR="00F912A2" w:rsidRDefault="00F9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2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A2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7118</cp:revision>
  <dcterms:created xsi:type="dcterms:W3CDTF">2024-06-20T08:51:00Z</dcterms:created>
  <dcterms:modified xsi:type="dcterms:W3CDTF">2025-02-04T16:59:00Z</dcterms:modified>
  <cp:category/>
</cp:coreProperties>
</file>