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B4F89" w:rsidRDefault="000B4F89" w:rsidP="000B4F89">
      <w:r w:rsidRPr="00D858E0">
        <w:rPr>
          <w:rFonts w:ascii="Times New Roman" w:eastAsia="Times New Roman" w:hAnsi="Times New Roman" w:cs="Times New Roman"/>
          <w:b/>
          <w:sz w:val="24"/>
          <w:szCs w:val="24"/>
          <w:lang w:eastAsia="ru-RU"/>
        </w:rPr>
        <w:t>Стефанів Іван Володимирович</w:t>
      </w:r>
      <w:r w:rsidRPr="00D858E0">
        <w:rPr>
          <w:rFonts w:ascii="Times New Roman" w:eastAsia="Times New Roman" w:hAnsi="Times New Roman" w:cs="Times New Roman"/>
          <w:sz w:val="24"/>
          <w:szCs w:val="24"/>
          <w:lang w:eastAsia="ru-RU"/>
        </w:rPr>
        <w:t>, асистент кафедри хірургічної  стоматології Тернопільського національного медичного університету імені І.Я. Горбачевського. Назва дисертації: «</w:t>
      </w:r>
      <w:r w:rsidRPr="00D858E0">
        <w:rPr>
          <w:rFonts w:ascii="Times New Roman" w:eastAsia="Times New Roman" w:hAnsi="Times New Roman" w:cs="Times New Roman"/>
          <w:kern w:val="28"/>
          <w:sz w:val="24"/>
          <w:szCs w:val="24"/>
          <w:lang w:eastAsia="ru-RU"/>
        </w:rPr>
        <w:t>Фармакологічна  характеристика  нового  рослинного  препарату  "Касдент"  для  лікування  запальних  захворювань  пародонту   та  слизової  оболонки  ротової  порожнини</w:t>
      </w:r>
      <w:r w:rsidRPr="00D858E0">
        <w:rPr>
          <w:rFonts w:ascii="Times New Roman" w:eastAsia="Times New Roman" w:hAnsi="Times New Roman" w:cs="Times New Roman"/>
          <w:sz w:val="24"/>
          <w:szCs w:val="24"/>
          <w:lang w:eastAsia="ru-RU"/>
        </w:rPr>
        <w:t>». Шифр та назва спеціальності – 14.03.05 – фармакологія. Спецрада – Д 64.605.03 Національного фармацевтичного університету</w:t>
      </w:r>
    </w:p>
    <w:sectPr w:rsidR="00CD7D1F" w:rsidRPr="000B4F8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0B4F89" w:rsidRPr="000B4F8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8BC1E-6D22-4A93-98C0-BF7408F5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97</cp:revision>
  <cp:lastPrinted>2009-02-06T05:36:00Z</cp:lastPrinted>
  <dcterms:created xsi:type="dcterms:W3CDTF">2021-08-08T21:04:00Z</dcterms:created>
  <dcterms:modified xsi:type="dcterms:W3CDTF">2021-08-09T18:49:00Z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