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4730" w14:textId="37624458" w:rsidR="00A8595C" w:rsidRDefault="00F0535A" w:rsidP="00F0535A">
      <w:pPr>
        <w:rPr>
          <w:rFonts w:ascii="Verdana" w:hAnsi="Verdana"/>
          <w:b/>
          <w:bCs/>
          <w:color w:val="000000"/>
          <w:shd w:val="clear" w:color="auto" w:fill="FFFFFF"/>
        </w:rPr>
      </w:pPr>
      <w:r>
        <w:rPr>
          <w:rFonts w:ascii="Verdana" w:hAnsi="Verdana"/>
          <w:b/>
          <w:bCs/>
          <w:color w:val="000000"/>
          <w:shd w:val="clear" w:color="auto" w:fill="FFFFFF"/>
        </w:rPr>
        <w:t>Безуглий Володимир Купріянович. Термодинамічне дослідження переносу хімічних елементів між атмосферою і матеріалом у термохімічних процесах : Дис... канд. техн. наук: 05.14.06 / НАН України; Інститут газу. — К., 2003. — 108арк. : рис. — Бібліогр.: арк. 104-108</w:t>
      </w:r>
    </w:p>
    <w:p w14:paraId="6D1CF627" w14:textId="77777777" w:rsidR="00F0535A" w:rsidRPr="00F0535A" w:rsidRDefault="00F0535A" w:rsidP="00F0535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0535A">
        <w:rPr>
          <w:rFonts w:ascii="Times New Roman" w:eastAsia="Times New Roman" w:hAnsi="Times New Roman" w:cs="Times New Roman"/>
          <w:color w:val="000000"/>
          <w:sz w:val="27"/>
          <w:szCs w:val="27"/>
        </w:rPr>
        <w:t>В.К.Безуглий. “Термодинамічне дослідження переносу хімічних елементів між атмосферою і матеріалом у термохімчних процесах.”</w:t>
      </w:r>
    </w:p>
    <w:p w14:paraId="0B1C3793" w14:textId="77777777" w:rsidR="00F0535A" w:rsidRPr="00F0535A" w:rsidRDefault="00F0535A" w:rsidP="00F0535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0535A">
        <w:rPr>
          <w:rFonts w:ascii="Times New Roman" w:eastAsia="Times New Roman" w:hAnsi="Times New Roman" w:cs="Times New Roman"/>
          <w:color w:val="000000"/>
          <w:sz w:val="27"/>
          <w:szCs w:val="27"/>
        </w:rPr>
        <w:t>Дисертацією є рукопис.</w:t>
      </w:r>
    </w:p>
    <w:p w14:paraId="548CAA30" w14:textId="77777777" w:rsidR="00F0535A" w:rsidRPr="00F0535A" w:rsidRDefault="00F0535A" w:rsidP="00F0535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0535A">
        <w:rPr>
          <w:rFonts w:ascii="Times New Roman" w:eastAsia="Times New Roman" w:hAnsi="Times New Roman" w:cs="Times New Roman"/>
          <w:color w:val="000000"/>
          <w:sz w:val="27"/>
          <w:szCs w:val="27"/>
        </w:rPr>
        <w:t>Дисертація на здобуття наукового ступеню кандидата технічних наук за спеціальністю 05.14.06 – технічна теплофізика та промислова теплоенергетика. – Інститут газу НАН України, Київ, 2003.</w:t>
      </w:r>
    </w:p>
    <w:p w14:paraId="3369DE96" w14:textId="77777777" w:rsidR="00F0535A" w:rsidRPr="00F0535A" w:rsidRDefault="00F0535A" w:rsidP="00F0535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0535A">
        <w:rPr>
          <w:rFonts w:ascii="Times New Roman" w:eastAsia="Times New Roman" w:hAnsi="Times New Roman" w:cs="Times New Roman"/>
          <w:color w:val="000000"/>
          <w:sz w:val="27"/>
          <w:szCs w:val="27"/>
        </w:rPr>
        <w:t>Дисертація присвячена розвитку методів дослідження масообміну між хімічно активними газоподібними середовищами і твердими матеріалами в реакторах хіміко-термічної обробки.</w:t>
      </w:r>
    </w:p>
    <w:p w14:paraId="7F8CF096" w14:textId="77777777" w:rsidR="00F0535A" w:rsidRPr="00F0535A" w:rsidRDefault="00F0535A" w:rsidP="00F0535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0535A">
        <w:rPr>
          <w:rFonts w:ascii="Times New Roman" w:eastAsia="Times New Roman" w:hAnsi="Times New Roman" w:cs="Times New Roman"/>
          <w:color w:val="000000"/>
          <w:sz w:val="27"/>
          <w:szCs w:val="27"/>
        </w:rPr>
        <w:t>Масообмін у таких процесах асоціюють з перенесенням певної кількості того чи іншого хімічного елементу між багатокомпонентною сумішшю хімічно активних газів і твердим матеріалом з урахуванням тієї обставини, що елемент входить до складу хімічних сполук.</w:t>
      </w:r>
    </w:p>
    <w:p w14:paraId="5CF6B15D" w14:textId="77777777" w:rsidR="00F0535A" w:rsidRPr="00F0535A" w:rsidRDefault="00F0535A" w:rsidP="00F0535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0535A">
        <w:rPr>
          <w:rFonts w:ascii="Times New Roman" w:eastAsia="Times New Roman" w:hAnsi="Times New Roman" w:cs="Times New Roman"/>
          <w:color w:val="000000"/>
          <w:sz w:val="27"/>
          <w:szCs w:val="27"/>
        </w:rPr>
        <w:t>Теоретичний опис процесів перенесення порцій хімічних елементів між технологічними середовищами спирається у дисертації на методологію термодинаміки необоротних процесів, у відповідності з якою сила перенесення постає як різниця потенціалів хімічного елементу у атмосфері та твердому матеріалі. У дисертації вперше запропоновано використовувати в якості коректного визначених потенціалів хімічних елементів парціальні атомні функції енергії Гіббса.</w:t>
      </w:r>
    </w:p>
    <w:p w14:paraId="7EFF14D3" w14:textId="77777777" w:rsidR="00F0535A" w:rsidRPr="00F0535A" w:rsidRDefault="00F0535A" w:rsidP="00F0535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0535A">
        <w:rPr>
          <w:rFonts w:ascii="Times New Roman" w:eastAsia="Times New Roman" w:hAnsi="Times New Roman" w:cs="Times New Roman"/>
          <w:color w:val="000000"/>
          <w:sz w:val="27"/>
          <w:szCs w:val="27"/>
        </w:rPr>
        <w:t>Розроблено метод обчислення потенціалів хімічних елементів для газових сумішей та деяких типів твердих матеріалів. Створена комп’ютерна програма (GaS) для обчислення потенціалів хімічних елементів та інших теплофізичних характеристик газових сумішей. Наведені приклади застосування програми GaS до розв’язання практичних задач ХТО.</w:t>
      </w:r>
    </w:p>
    <w:p w14:paraId="1ACECCE7" w14:textId="77777777" w:rsidR="00F0535A" w:rsidRPr="00F0535A" w:rsidRDefault="00F0535A" w:rsidP="00F0535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0535A">
        <w:rPr>
          <w:rFonts w:ascii="Times New Roman" w:eastAsia="Times New Roman" w:hAnsi="Times New Roman" w:cs="Times New Roman"/>
          <w:color w:val="000000"/>
          <w:sz w:val="27"/>
          <w:szCs w:val="27"/>
        </w:rPr>
        <w:t>Наведені результати лабораторного дослідження кінетики втрати ваги подріблених котунів, які складаються головним чином з Fe</w:t>
      </w:r>
      <w:r w:rsidRPr="00F0535A">
        <w:rPr>
          <w:rFonts w:ascii="Times New Roman" w:eastAsia="Times New Roman" w:hAnsi="Times New Roman" w:cs="Times New Roman"/>
          <w:color w:val="000000"/>
          <w:sz w:val="27"/>
          <w:szCs w:val="27"/>
          <w:vertAlign w:val="subscript"/>
        </w:rPr>
        <w:t>3</w:t>
      </w:r>
      <w:r w:rsidRPr="00F0535A">
        <w:rPr>
          <w:rFonts w:ascii="Times New Roman" w:eastAsia="Times New Roman" w:hAnsi="Times New Roman" w:cs="Times New Roman"/>
          <w:color w:val="000000"/>
          <w:sz w:val="27"/>
          <w:szCs w:val="27"/>
        </w:rPr>
        <w:t>O</w:t>
      </w:r>
      <w:r w:rsidRPr="00F0535A">
        <w:rPr>
          <w:rFonts w:ascii="Times New Roman" w:eastAsia="Times New Roman" w:hAnsi="Times New Roman" w:cs="Times New Roman"/>
          <w:color w:val="000000"/>
          <w:sz w:val="27"/>
          <w:szCs w:val="27"/>
          <w:vertAlign w:val="subscript"/>
        </w:rPr>
        <w:t>4</w:t>
      </w:r>
      <w:r w:rsidRPr="00F0535A">
        <w:rPr>
          <w:rFonts w:ascii="Times New Roman" w:eastAsia="Times New Roman" w:hAnsi="Times New Roman" w:cs="Times New Roman"/>
          <w:color w:val="000000"/>
          <w:sz w:val="27"/>
          <w:szCs w:val="27"/>
        </w:rPr>
        <w:t>, у тоці Н</w:t>
      </w:r>
      <w:r w:rsidRPr="00F0535A">
        <w:rPr>
          <w:rFonts w:ascii="Times New Roman" w:eastAsia="Times New Roman" w:hAnsi="Times New Roman" w:cs="Times New Roman"/>
          <w:color w:val="000000"/>
          <w:sz w:val="27"/>
          <w:szCs w:val="27"/>
          <w:vertAlign w:val="subscript"/>
        </w:rPr>
        <w:t>2</w:t>
      </w:r>
      <w:r w:rsidRPr="00F0535A">
        <w:rPr>
          <w:rFonts w:ascii="Times New Roman" w:eastAsia="Times New Roman" w:hAnsi="Times New Roman" w:cs="Times New Roman"/>
          <w:color w:val="000000"/>
          <w:sz w:val="27"/>
          <w:szCs w:val="27"/>
        </w:rPr>
        <w:t>-N</w:t>
      </w:r>
      <w:r w:rsidRPr="00F0535A">
        <w:rPr>
          <w:rFonts w:ascii="Times New Roman" w:eastAsia="Times New Roman" w:hAnsi="Times New Roman" w:cs="Times New Roman"/>
          <w:color w:val="000000"/>
          <w:sz w:val="27"/>
          <w:szCs w:val="27"/>
          <w:vertAlign w:val="subscript"/>
        </w:rPr>
        <w:t>2</w:t>
      </w:r>
      <w:r w:rsidRPr="00F0535A">
        <w:rPr>
          <w:rFonts w:ascii="Times New Roman" w:eastAsia="Times New Roman" w:hAnsi="Times New Roman" w:cs="Times New Roman"/>
          <w:color w:val="000000"/>
          <w:sz w:val="27"/>
          <w:szCs w:val="27"/>
        </w:rPr>
        <w:t>; результати засвідчили можливість контролювати перебіг процесу перенесення кисню за допомогою кисневого зонду.</w:t>
      </w:r>
    </w:p>
    <w:p w14:paraId="4FE4B20B" w14:textId="77777777" w:rsidR="00F0535A" w:rsidRPr="00F0535A" w:rsidRDefault="00F0535A" w:rsidP="00F0535A"/>
    <w:sectPr w:rsidR="00F0535A" w:rsidRPr="00F053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05B5" w14:textId="77777777" w:rsidR="00B4229F" w:rsidRDefault="00B4229F">
      <w:pPr>
        <w:spacing w:after="0" w:line="240" w:lineRule="auto"/>
      </w:pPr>
      <w:r>
        <w:separator/>
      </w:r>
    </w:p>
  </w:endnote>
  <w:endnote w:type="continuationSeparator" w:id="0">
    <w:p w14:paraId="25ED8DEB" w14:textId="77777777" w:rsidR="00B4229F" w:rsidRDefault="00B4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3369" w14:textId="77777777" w:rsidR="00B4229F" w:rsidRDefault="00B4229F">
      <w:pPr>
        <w:spacing w:after="0" w:line="240" w:lineRule="auto"/>
      </w:pPr>
      <w:r>
        <w:separator/>
      </w:r>
    </w:p>
  </w:footnote>
  <w:footnote w:type="continuationSeparator" w:id="0">
    <w:p w14:paraId="41CF5CC0" w14:textId="77777777" w:rsidR="00B4229F" w:rsidRDefault="00B4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22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29F"/>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102581</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786</cp:revision>
  <dcterms:created xsi:type="dcterms:W3CDTF">2024-06-20T08:51:00Z</dcterms:created>
  <dcterms:modified xsi:type="dcterms:W3CDTF">2024-12-22T19:06:00Z</dcterms:modified>
  <cp:category/>
</cp:coreProperties>
</file>