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8D7E1F" w:rsidRDefault="008D7E1F" w:rsidP="008D7E1F">
      <w:r w:rsidRPr="008D7E1F">
        <w:rPr>
          <w:rFonts w:ascii="Times New Roman" w:eastAsia="Arial Narrow" w:hAnsi="Times New Roman" w:cs="Times New Roman"/>
          <w:b/>
          <w:bCs/>
          <w:color w:val="000000"/>
          <w:kern w:val="0"/>
          <w:sz w:val="24"/>
          <w:lang w:val="uk-UA" w:eastAsia="ru-RU" w:bidi="ru-RU"/>
        </w:rPr>
        <w:t xml:space="preserve">Моат </w:t>
      </w:r>
      <w:r w:rsidRPr="008D7E1F">
        <w:rPr>
          <w:rFonts w:ascii="Times New Roman" w:eastAsia="Arial Narrow" w:hAnsi="Times New Roman" w:cs="Times New Roman"/>
          <w:b/>
          <w:bCs/>
          <w:color w:val="000000"/>
          <w:kern w:val="0"/>
          <w:sz w:val="24"/>
          <w:lang w:val="uk-UA" w:eastAsia="uk-UA" w:bidi="uk-UA"/>
        </w:rPr>
        <w:t xml:space="preserve">Талат </w:t>
      </w:r>
      <w:r w:rsidRPr="008D7E1F">
        <w:rPr>
          <w:rFonts w:ascii="Times New Roman" w:eastAsia="Arial Narrow" w:hAnsi="Times New Roman" w:cs="Times New Roman"/>
          <w:b/>
          <w:bCs/>
          <w:color w:val="000000"/>
          <w:kern w:val="0"/>
          <w:sz w:val="24"/>
          <w:lang w:val="uk-UA" w:eastAsia="ru-RU" w:bidi="ru-RU"/>
        </w:rPr>
        <w:t xml:space="preserve">Рамадан </w:t>
      </w:r>
      <w:r w:rsidRPr="008D7E1F">
        <w:rPr>
          <w:rFonts w:ascii="Times New Roman" w:eastAsia="Arial Narrow" w:hAnsi="Times New Roman" w:cs="Times New Roman"/>
          <w:b/>
          <w:bCs/>
          <w:color w:val="000000"/>
          <w:kern w:val="0"/>
          <w:sz w:val="24"/>
          <w:lang w:val="uk-UA" w:eastAsia="uk-UA" w:bidi="uk-UA"/>
        </w:rPr>
        <w:t>Сапах</w:t>
      </w:r>
      <w:r w:rsidRPr="008D7E1F">
        <w:rPr>
          <w:rFonts w:ascii="Times New Roman" w:hAnsi="Times New Roman" w:cs="Times New Roman"/>
          <w:color w:val="000000"/>
          <w:kern w:val="0"/>
          <w:sz w:val="24"/>
          <w:szCs w:val="24"/>
          <w:lang w:val="uk-UA" w:eastAsia="uk-UA" w:bidi="uk-UA"/>
        </w:rPr>
        <w:t>, аспірант кафедри телекому</w:t>
      </w:r>
      <w:r w:rsidRPr="008D7E1F">
        <w:rPr>
          <w:rFonts w:ascii="Times New Roman" w:hAnsi="Times New Roman" w:cs="Times New Roman"/>
          <w:color w:val="000000"/>
          <w:kern w:val="0"/>
          <w:sz w:val="24"/>
          <w:szCs w:val="24"/>
          <w:lang w:val="uk-UA" w:eastAsia="uk-UA" w:bidi="uk-UA"/>
        </w:rPr>
        <w:softHyphen/>
        <w:t>нікаційних систем Харківського національного університету радіоелектроніки МОН України: «Метод синтезу накладених інфокомунікаційних мереж в умовах самоподібного гру</w:t>
      </w:r>
      <w:r w:rsidRPr="008D7E1F">
        <w:rPr>
          <w:rFonts w:ascii="Times New Roman" w:hAnsi="Times New Roman" w:cs="Times New Roman"/>
          <w:color w:val="000000"/>
          <w:kern w:val="0"/>
          <w:sz w:val="24"/>
          <w:szCs w:val="24"/>
          <w:lang w:val="uk-UA" w:eastAsia="uk-UA" w:bidi="uk-UA"/>
        </w:rPr>
        <w:softHyphen/>
        <w:t>пового трафіку» (05.12.02 - телекомунікаційні системи та мережі). Спецрада Д 64.052.09 у Харківському національ</w:t>
      </w:r>
      <w:r w:rsidRPr="008D7E1F">
        <w:rPr>
          <w:rFonts w:ascii="Times New Roman" w:hAnsi="Times New Roman" w:cs="Times New Roman"/>
          <w:color w:val="000000"/>
          <w:kern w:val="0"/>
          <w:sz w:val="24"/>
          <w:szCs w:val="24"/>
          <w:lang w:val="uk-UA" w:eastAsia="uk-UA" w:bidi="uk-UA"/>
        </w:rPr>
        <w:softHyphen/>
        <w:t>ному університеті радіоелектроніки</w:t>
      </w:r>
    </w:p>
    <w:sectPr w:rsidR="00086D61" w:rsidRPr="008D7E1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E6A46-8F17-4821-A1E0-F9EF4067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2020-05-19T08:03:00Z</dcterms:created>
  <dcterms:modified xsi:type="dcterms:W3CDTF">2020-05-19T14:18:00Z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