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7275" w14:textId="7F3D7752" w:rsidR="00D85EF8" w:rsidRDefault="00C628DC" w:rsidP="00C628DC">
      <w:pPr>
        <w:rPr>
          <w:rFonts w:ascii="Verdana" w:hAnsi="Verdana"/>
          <w:b/>
          <w:bCs/>
          <w:color w:val="000000"/>
          <w:shd w:val="clear" w:color="auto" w:fill="FFFFFF"/>
        </w:rPr>
      </w:pPr>
      <w:r>
        <w:rPr>
          <w:rFonts w:ascii="Verdana" w:hAnsi="Verdana"/>
          <w:b/>
          <w:bCs/>
          <w:color w:val="000000"/>
          <w:shd w:val="clear" w:color="auto" w:fill="FFFFFF"/>
        </w:rPr>
        <w:t>Ракицька Світлана Олегівна. Інфраструктурне забезпечення переходу до інноваційного типу розвитку: дис... канд. екон. наук: 08.02.02 / НАН України; Інститут проблем ринку та економіко-екологічних досліджень.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28DC" w:rsidRPr="00C628DC" w14:paraId="6CF20832" w14:textId="77777777" w:rsidTr="00C628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28DC" w:rsidRPr="00C628DC" w14:paraId="191C4F5B" w14:textId="77777777">
              <w:trPr>
                <w:tblCellSpacing w:w="0" w:type="dxa"/>
              </w:trPr>
              <w:tc>
                <w:tcPr>
                  <w:tcW w:w="0" w:type="auto"/>
                  <w:vAlign w:val="center"/>
                  <w:hideMark/>
                </w:tcPr>
                <w:p w14:paraId="3F300F20" w14:textId="77777777" w:rsidR="00C628DC" w:rsidRPr="00C628DC" w:rsidRDefault="00C628DC" w:rsidP="00C62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28DC">
                    <w:rPr>
                      <w:rFonts w:ascii="Times New Roman" w:eastAsia="Times New Roman" w:hAnsi="Times New Roman" w:cs="Times New Roman"/>
                      <w:b/>
                      <w:bCs/>
                      <w:sz w:val="24"/>
                      <w:szCs w:val="24"/>
                    </w:rPr>
                    <w:lastRenderedPageBreak/>
                    <w:t>Ракицька С.О. Інфраструктурне забезпечення переходу до інноваційного типу розвитку. – Рукопис.</w:t>
                  </w:r>
                </w:p>
                <w:p w14:paraId="31C115B1" w14:textId="77777777" w:rsidR="00C628DC" w:rsidRPr="00C628DC" w:rsidRDefault="00C628DC" w:rsidP="00C62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28D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08.02.02 – Економіка та управління науково-технічним прогресом. – Інститут проблем ринку та економіко-екологічних досліджень НАН України, Одеса, 2004.</w:t>
                  </w:r>
                </w:p>
                <w:p w14:paraId="576A03B0" w14:textId="77777777" w:rsidR="00C628DC" w:rsidRPr="00C628DC" w:rsidRDefault="00C628DC" w:rsidP="00C62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28DC">
                    <w:rPr>
                      <w:rFonts w:ascii="Times New Roman" w:eastAsia="Times New Roman" w:hAnsi="Times New Roman" w:cs="Times New Roman"/>
                      <w:sz w:val="24"/>
                      <w:szCs w:val="24"/>
                    </w:rPr>
                    <w:t>Дисертація присвячена розвитку теоретичних і методичних положень формування і реалізації інфраструктурного забезпечення інноваційної діяльності при переході до інноваційного типу розвитку економічної системи. Узагальнено методологічні основи розвитку інноваційної діяльності, проведено аналіз впливу інфраструктурних інновацій на закономірності зміни техніко-економічних укладів. Виявлено основні тенденції і закономірності сучасного етапу конкурентного розвитку країни, досліджено особливості проявів зовнішніх ефектів інноваційної діяльності та обґрунтовано можливості непрямого фінансування її розвитку. Досліджено поняття</w:t>
                  </w:r>
                  <w:r w:rsidRPr="00C628DC">
                    <w:rPr>
                      <w:rFonts w:ascii="Times New Roman" w:eastAsia="Times New Roman" w:hAnsi="Times New Roman" w:cs="Times New Roman"/>
                      <w:b/>
                      <w:bCs/>
                      <w:sz w:val="24"/>
                      <w:szCs w:val="24"/>
                    </w:rPr>
                    <w:t> </w:t>
                  </w:r>
                  <w:r w:rsidRPr="00C628DC">
                    <w:rPr>
                      <w:rFonts w:ascii="Times New Roman" w:eastAsia="Times New Roman" w:hAnsi="Times New Roman" w:cs="Times New Roman"/>
                      <w:sz w:val="24"/>
                      <w:szCs w:val="24"/>
                    </w:rPr>
                    <w:t>інноваційної інфраструктури, розроблено методику оцінки рівня її розвитку, зроблено розрахунки показників, які характеризують інноваційну інфраструктуру регіонів України, відокремлено інституціональний блок підтримки інноваційного розвитку в удосконаленій системі методів регулювання інноваційної діяльності.</w:t>
                  </w:r>
                </w:p>
              </w:tc>
            </w:tr>
          </w:tbl>
          <w:p w14:paraId="6E1D166B" w14:textId="77777777" w:rsidR="00C628DC" w:rsidRPr="00C628DC" w:rsidRDefault="00C628DC" w:rsidP="00C628DC">
            <w:pPr>
              <w:spacing w:after="0" w:line="240" w:lineRule="auto"/>
              <w:rPr>
                <w:rFonts w:ascii="Times New Roman" w:eastAsia="Times New Roman" w:hAnsi="Times New Roman" w:cs="Times New Roman"/>
                <w:sz w:val="24"/>
                <w:szCs w:val="24"/>
              </w:rPr>
            </w:pPr>
          </w:p>
        </w:tc>
      </w:tr>
      <w:tr w:rsidR="00C628DC" w:rsidRPr="00C628DC" w14:paraId="78BC56B9" w14:textId="77777777" w:rsidTr="00C628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28DC" w:rsidRPr="00C628DC" w14:paraId="3CFDF079" w14:textId="77777777">
              <w:trPr>
                <w:tblCellSpacing w:w="0" w:type="dxa"/>
              </w:trPr>
              <w:tc>
                <w:tcPr>
                  <w:tcW w:w="0" w:type="auto"/>
                  <w:vAlign w:val="center"/>
                  <w:hideMark/>
                </w:tcPr>
                <w:p w14:paraId="1C3153C9" w14:textId="77777777" w:rsidR="00C628DC" w:rsidRPr="00C628DC" w:rsidRDefault="00C628DC" w:rsidP="00C62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28DC">
                    <w:rPr>
                      <w:rFonts w:ascii="Times New Roman" w:eastAsia="Times New Roman" w:hAnsi="Times New Roman" w:cs="Times New Roman"/>
                      <w:sz w:val="24"/>
                      <w:szCs w:val="24"/>
                    </w:rPr>
                    <w:t>Одержані результати в сукупності вирішують важливе науково-практичне завдання - розвиток теоретичних і методичних положень і розробка науково обґрунтованих практичних рекомендацій щодо формування і реалізації інфраструктурного забезпечення переходу до інноваційного типу розвитку. Основні висновки та рекомендації теоретичного та науково-практичного характеру, здобуті в ході проведеного дослідження:</w:t>
                  </w:r>
                </w:p>
                <w:p w14:paraId="2B6815F8" w14:textId="77777777" w:rsidR="00C628DC" w:rsidRPr="00C628DC" w:rsidRDefault="00C628DC" w:rsidP="00C628DC">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628DC">
                    <w:rPr>
                      <w:rFonts w:ascii="Times New Roman" w:eastAsia="Times New Roman" w:hAnsi="Times New Roman" w:cs="Times New Roman"/>
                      <w:sz w:val="24"/>
                      <w:szCs w:val="24"/>
                    </w:rPr>
                    <w:t>Формування постіндустріального сектора супроводжується якісними змінами в економіці країн, конкурентний розвиток яких перейшов до четвертої стадії. При цьому зберігаються всі джерела розвитку, характерні для попередніх стадій, та формується нове – функціонування на основі знань та інформаційних технологій. Інноваційна діяльність виходить за межі виробництва, поширюється на фундаментальні дослідження і сферу споживання.</w:t>
                  </w:r>
                </w:p>
                <w:p w14:paraId="531F9DAA" w14:textId="77777777" w:rsidR="00C628DC" w:rsidRPr="00C628DC" w:rsidRDefault="00C628DC" w:rsidP="00C628DC">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628DC">
                    <w:rPr>
                      <w:rFonts w:ascii="Times New Roman" w:eastAsia="Times New Roman" w:hAnsi="Times New Roman" w:cs="Times New Roman"/>
                      <w:sz w:val="24"/>
                      <w:szCs w:val="24"/>
                    </w:rPr>
                    <w:t>Для України стан інноваційної діяльності відповідає ознакам класичної моделі розвитку факторного типу, при якій спостерігаються прояви інвестиційних та інноваційних джерел. Це дозволяє стимулювати прояви нових чинників, які відповідають моделям інвестиційного й інноваційного типів. Підсилюючим чинником у прискоренні переходу до вищої стадії конкурентоспроможності є вид інновації, визначений нами як інфраструктурна.</w:t>
                  </w:r>
                </w:p>
                <w:p w14:paraId="7EF0630A" w14:textId="77777777" w:rsidR="00C628DC" w:rsidRPr="00C628DC" w:rsidRDefault="00C628DC" w:rsidP="00C628DC">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628DC">
                    <w:rPr>
                      <w:rFonts w:ascii="Times New Roman" w:eastAsia="Times New Roman" w:hAnsi="Times New Roman" w:cs="Times New Roman"/>
                      <w:sz w:val="24"/>
                      <w:szCs w:val="24"/>
                    </w:rPr>
                    <w:t>Для інноваційної діяльності властиві суспільний характер та наявність потужних зовнішніх ефектів, які можуть бути позитивними і негативними. Урахування цих ефектів в схемі життєвого циклу інновації довело, що дії цих екстерналій виявляються поза точкою виникнення і супроводжуються мультиплікативними ефектами. Це дозволило обґрунтувати необхідність використання зовнішніх джерел непрямого фінансування розвитку інноваційної діяльності.</w:t>
                  </w:r>
                </w:p>
                <w:p w14:paraId="67146021" w14:textId="77777777" w:rsidR="00C628DC" w:rsidRPr="00C628DC" w:rsidRDefault="00C628DC" w:rsidP="00C628DC">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628DC">
                    <w:rPr>
                      <w:rFonts w:ascii="Times New Roman" w:eastAsia="Times New Roman" w:hAnsi="Times New Roman" w:cs="Times New Roman"/>
                      <w:sz w:val="24"/>
                      <w:szCs w:val="24"/>
                    </w:rPr>
                    <w:t>Розроблена в роботі методика оцінки інноваційної інфраструктури, в якій застосовані дані про її стан і результативність, дозволила визначити нерівномірність і суттєвий відрив розрахованих показників за регіонами України при значній тісноті зв'язку з рівнем їх економічного розвитку.</w:t>
                  </w:r>
                </w:p>
                <w:p w14:paraId="13B8C89A" w14:textId="77777777" w:rsidR="00C628DC" w:rsidRPr="00C628DC" w:rsidRDefault="00C628DC" w:rsidP="00C628DC">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628DC">
                    <w:rPr>
                      <w:rFonts w:ascii="Times New Roman" w:eastAsia="Times New Roman" w:hAnsi="Times New Roman" w:cs="Times New Roman"/>
                      <w:sz w:val="24"/>
                      <w:szCs w:val="24"/>
                    </w:rPr>
                    <w:lastRenderedPageBreak/>
                    <w:t>Запропонована система економічних методів регулювання інноваційної діяльності заснована на сполученні ринкового та адміністративного інструментарію регулювання, характерного для змішаних економік. Інституціональне забезпечення інноваційного процесу, сформоване як складова вказаної системи, дозволяє уникнути протиріч між суспільним характером наукової діяльності та індивідуальною формою використання її результату.</w:t>
                  </w:r>
                </w:p>
                <w:p w14:paraId="32F48407" w14:textId="77777777" w:rsidR="00C628DC" w:rsidRPr="00C628DC" w:rsidRDefault="00C628DC" w:rsidP="00C628DC">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628DC">
                    <w:rPr>
                      <w:rFonts w:ascii="Times New Roman" w:eastAsia="Times New Roman" w:hAnsi="Times New Roman" w:cs="Times New Roman"/>
                      <w:sz w:val="24"/>
                      <w:szCs w:val="24"/>
                    </w:rPr>
                    <w:t>Аналіз передумов та чинників інноваційного розвитку Одеського регіону підтвердив наявність перспектив переходу до прогресивної моделі економічного розвитку. Однією з найважливіших умов реалізації інноваційної стратегії на регіональному рівні є сприятлива стартова ситуація – потенційно прибуткові базові галузі, які забезпечують високу інвестиційну привабливість регіону і необхідні фінансові ресурси для подальшого формування розвиненої інноваційної інфраструктури.</w:t>
                  </w:r>
                </w:p>
                <w:p w14:paraId="6979D057" w14:textId="77777777" w:rsidR="00C628DC" w:rsidRPr="00C628DC" w:rsidRDefault="00C628DC" w:rsidP="00C628DC">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628DC">
                    <w:rPr>
                      <w:rFonts w:ascii="Times New Roman" w:eastAsia="Times New Roman" w:hAnsi="Times New Roman" w:cs="Times New Roman"/>
                      <w:sz w:val="24"/>
                      <w:szCs w:val="24"/>
                    </w:rPr>
                    <w:t>Реструктуризацію економіки Одеського регіону доцільно здійснювати в три етапи. Відмінною рисою цього процесу є зменшення питомої ваги ресурсоорієнтованих галузей у загальній структурі економіки регіону за рахунок розвитку і збільшення частки сектора інноваційної спрямованості. При цьому зберігається значення базових видів діяльності. Реалізація заходів за рекомендованими етапами дозволяє здійснити перехід до моделі інноваційного типу.</w:t>
                  </w:r>
                </w:p>
                <w:p w14:paraId="013A849B" w14:textId="77777777" w:rsidR="00C628DC" w:rsidRPr="00C628DC" w:rsidRDefault="00C628DC" w:rsidP="00C628DC">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628DC">
                    <w:rPr>
                      <w:rFonts w:ascii="Times New Roman" w:eastAsia="Times New Roman" w:hAnsi="Times New Roman" w:cs="Times New Roman"/>
                      <w:sz w:val="24"/>
                      <w:szCs w:val="24"/>
                    </w:rPr>
                    <w:t>Перехід на інноваційний тип розвитку підтримується розробкою та провадженням положень інноваційної програми Одеського регіону, яка включає аналітичний огляд вихідної інформації, визначення основних пріоритетів і цілей, реалізацію програми, оцінку і контроль виконання. Досягнення ефективності функціонування інноваційної інфраструктури, сформованої в результаті реалізації інноваційної програми, забезпечується використанням запропонованого економічного інструментарію та підтримується координуючими функціями регіональних органів управління.</w:t>
                  </w:r>
                </w:p>
              </w:tc>
            </w:tr>
          </w:tbl>
          <w:p w14:paraId="74FF1457" w14:textId="77777777" w:rsidR="00C628DC" w:rsidRPr="00C628DC" w:rsidRDefault="00C628DC" w:rsidP="00C628DC">
            <w:pPr>
              <w:spacing w:after="0" w:line="240" w:lineRule="auto"/>
              <w:rPr>
                <w:rFonts w:ascii="Times New Roman" w:eastAsia="Times New Roman" w:hAnsi="Times New Roman" w:cs="Times New Roman"/>
                <w:sz w:val="24"/>
                <w:szCs w:val="24"/>
              </w:rPr>
            </w:pPr>
          </w:p>
        </w:tc>
      </w:tr>
    </w:tbl>
    <w:p w14:paraId="74178284" w14:textId="77777777" w:rsidR="00C628DC" w:rsidRPr="00C628DC" w:rsidRDefault="00C628DC" w:rsidP="00C628DC"/>
    <w:sectPr w:rsidR="00C628DC" w:rsidRPr="00C628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47D3" w14:textId="77777777" w:rsidR="006867B2" w:rsidRDefault="006867B2">
      <w:pPr>
        <w:spacing w:after="0" w:line="240" w:lineRule="auto"/>
      </w:pPr>
      <w:r>
        <w:separator/>
      </w:r>
    </w:p>
  </w:endnote>
  <w:endnote w:type="continuationSeparator" w:id="0">
    <w:p w14:paraId="2236D8AC" w14:textId="77777777" w:rsidR="006867B2" w:rsidRDefault="00686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CB84" w14:textId="77777777" w:rsidR="006867B2" w:rsidRDefault="006867B2">
      <w:pPr>
        <w:spacing w:after="0" w:line="240" w:lineRule="auto"/>
      </w:pPr>
      <w:r>
        <w:separator/>
      </w:r>
    </w:p>
  </w:footnote>
  <w:footnote w:type="continuationSeparator" w:id="0">
    <w:p w14:paraId="279A3EA4" w14:textId="77777777" w:rsidR="006867B2" w:rsidRDefault="00686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867B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5B4"/>
    <w:multiLevelType w:val="multilevel"/>
    <w:tmpl w:val="60E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A3434"/>
    <w:multiLevelType w:val="multilevel"/>
    <w:tmpl w:val="C0065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24A21"/>
    <w:multiLevelType w:val="multilevel"/>
    <w:tmpl w:val="393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77859"/>
    <w:multiLevelType w:val="multilevel"/>
    <w:tmpl w:val="93826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E74F7"/>
    <w:multiLevelType w:val="multilevel"/>
    <w:tmpl w:val="E9E8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37A46"/>
    <w:multiLevelType w:val="multilevel"/>
    <w:tmpl w:val="3F6C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E18AA"/>
    <w:multiLevelType w:val="multilevel"/>
    <w:tmpl w:val="D6F8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DA788D"/>
    <w:multiLevelType w:val="multilevel"/>
    <w:tmpl w:val="00F6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F74BF"/>
    <w:multiLevelType w:val="multilevel"/>
    <w:tmpl w:val="100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B55B64"/>
    <w:multiLevelType w:val="multilevel"/>
    <w:tmpl w:val="C21C5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EC12A8"/>
    <w:multiLevelType w:val="multilevel"/>
    <w:tmpl w:val="F6D04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743F95"/>
    <w:multiLevelType w:val="multilevel"/>
    <w:tmpl w:val="06E0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BF75AB"/>
    <w:multiLevelType w:val="multilevel"/>
    <w:tmpl w:val="DB7E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D93146"/>
    <w:multiLevelType w:val="multilevel"/>
    <w:tmpl w:val="2B106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1D5B07"/>
    <w:multiLevelType w:val="multilevel"/>
    <w:tmpl w:val="B1A8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2E6698"/>
    <w:multiLevelType w:val="multilevel"/>
    <w:tmpl w:val="4D46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262C80"/>
    <w:multiLevelType w:val="multilevel"/>
    <w:tmpl w:val="D604FF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3C666A"/>
    <w:multiLevelType w:val="multilevel"/>
    <w:tmpl w:val="94BEE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D50B6A"/>
    <w:multiLevelType w:val="multilevel"/>
    <w:tmpl w:val="0F20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4F2FDA"/>
    <w:multiLevelType w:val="multilevel"/>
    <w:tmpl w:val="E4E6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550BC1"/>
    <w:multiLevelType w:val="multilevel"/>
    <w:tmpl w:val="33A6C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253428"/>
    <w:multiLevelType w:val="multilevel"/>
    <w:tmpl w:val="2992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E63C85"/>
    <w:multiLevelType w:val="multilevel"/>
    <w:tmpl w:val="E9982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E64EB8"/>
    <w:multiLevelType w:val="multilevel"/>
    <w:tmpl w:val="6FC0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E6443F"/>
    <w:multiLevelType w:val="multilevel"/>
    <w:tmpl w:val="E29A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7538B7"/>
    <w:multiLevelType w:val="multilevel"/>
    <w:tmpl w:val="12F2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7A03E1"/>
    <w:multiLevelType w:val="multilevel"/>
    <w:tmpl w:val="F5D22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A31D01"/>
    <w:multiLevelType w:val="multilevel"/>
    <w:tmpl w:val="C414C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312ED3"/>
    <w:multiLevelType w:val="multilevel"/>
    <w:tmpl w:val="0888AD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460ADD"/>
    <w:multiLevelType w:val="multilevel"/>
    <w:tmpl w:val="E4AC50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8"/>
  </w:num>
  <w:num w:numId="4">
    <w:abstractNumId w:val="25"/>
  </w:num>
  <w:num w:numId="5">
    <w:abstractNumId w:val="16"/>
  </w:num>
  <w:num w:numId="6">
    <w:abstractNumId w:val="29"/>
  </w:num>
  <w:num w:numId="7">
    <w:abstractNumId w:val="6"/>
  </w:num>
  <w:num w:numId="8">
    <w:abstractNumId w:val="3"/>
  </w:num>
  <w:num w:numId="9">
    <w:abstractNumId w:val="19"/>
  </w:num>
  <w:num w:numId="10">
    <w:abstractNumId w:val="24"/>
  </w:num>
  <w:num w:numId="11">
    <w:abstractNumId w:val="17"/>
  </w:num>
  <w:num w:numId="12">
    <w:abstractNumId w:val="12"/>
  </w:num>
  <w:num w:numId="13">
    <w:abstractNumId w:val="2"/>
  </w:num>
  <w:num w:numId="14">
    <w:abstractNumId w:val="13"/>
  </w:num>
  <w:num w:numId="15">
    <w:abstractNumId w:val="9"/>
  </w:num>
  <w:num w:numId="16">
    <w:abstractNumId w:val="11"/>
  </w:num>
  <w:num w:numId="17">
    <w:abstractNumId w:val="5"/>
  </w:num>
  <w:num w:numId="18">
    <w:abstractNumId w:val="1"/>
  </w:num>
  <w:num w:numId="19">
    <w:abstractNumId w:val="1"/>
    <w:lvlOverride w:ilvl="1">
      <w:startOverride w:val="4"/>
    </w:lvlOverride>
  </w:num>
  <w:num w:numId="20">
    <w:abstractNumId w:val="14"/>
  </w:num>
  <w:num w:numId="21">
    <w:abstractNumId w:val="7"/>
  </w:num>
  <w:num w:numId="22">
    <w:abstractNumId w:val="15"/>
  </w:num>
  <w:num w:numId="23">
    <w:abstractNumId w:val="4"/>
  </w:num>
  <w:num w:numId="24">
    <w:abstractNumId w:val="21"/>
  </w:num>
  <w:num w:numId="25">
    <w:abstractNumId w:val="22"/>
  </w:num>
  <w:num w:numId="26">
    <w:abstractNumId w:val="20"/>
  </w:num>
  <w:num w:numId="27">
    <w:abstractNumId w:val="26"/>
  </w:num>
  <w:num w:numId="28">
    <w:abstractNumId w:val="10"/>
  </w:num>
  <w:num w:numId="29">
    <w:abstractNumId w:val="27"/>
  </w:num>
  <w:num w:numId="30">
    <w:abstractNumId w:val="2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B2"/>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76615</TotalTime>
  <Pages>3</Pages>
  <Words>794</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1556</cp:revision>
  <dcterms:created xsi:type="dcterms:W3CDTF">2024-06-20T08:51:00Z</dcterms:created>
  <dcterms:modified xsi:type="dcterms:W3CDTF">2024-09-08T21:41:00Z</dcterms:modified>
  <cp:category/>
</cp:coreProperties>
</file>