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4065AC6B" w:rsidR="00DF7E66" w:rsidRPr="00B43CFE" w:rsidRDefault="00B43CFE" w:rsidP="00B43CFE">
      <w:r>
        <w:t>Гусаковський Степан Степанович, лаборант відділу реконструктивної та геріатричної урології Державної установи «Інститут урології імені академіка О.Ф.Возіанова НАМН України», тема дисертації: «Фактори прогнозу та вибір ад’ювантної хіміотерапії при м’язево-неінвазивному раку сечового міхура» (222 Медицина). Спеціалізована вчена рада ДФ 26.615.001 у ДУ «Інститут урології імені академіка О.Ф.Возіанова НАМН України»</w:t>
      </w:r>
    </w:p>
    <w:sectPr w:rsidR="00DF7E66" w:rsidRPr="00B43C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32DC" w14:textId="77777777" w:rsidR="000F0051" w:rsidRDefault="000F0051">
      <w:pPr>
        <w:spacing w:after="0" w:line="240" w:lineRule="auto"/>
      </w:pPr>
      <w:r>
        <w:separator/>
      </w:r>
    </w:p>
  </w:endnote>
  <w:endnote w:type="continuationSeparator" w:id="0">
    <w:p w14:paraId="5262184A" w14:textId="77777777" w:rsidR="000F0051" w:rsidRDefault="000F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19B5" w14:textId="77777777" w:rsidR="000F0051" w:rsidRDefault="000F0051">
      <w:pPr>
        <w:spacing w:after="0" w:line="240" w:lineRule="auto"/>
      </w:pPr>
      <w:r>
        <w:separator/>
      </w:r>
    </w:p>
  </w:footnote>
  <w:footnote w:type="continuationSeparator" w:id="0">
    <w:p w14:paraId="2C9EE6C7" w14:textId="77777777" w:rsidR="000F0051" w:rsidRDefault="000F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0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051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4177</cp:revision>
  <dcterms:created xsi:type="dcterms:W3CDTF">2024-06-20T08:51:00Z</dcterms:created>
  <dcterms:modified xsi:type="dcterms:W3CDTF">2024-07-12T21:50:00Z</dcterms:modified>
  <cp:category/>
</cp:coreProperties>
</file>