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29784174" w:rsidR="007E26B4" w:rsidRPr="00E8434F" w:rsidRDefault="00E8434F" w:rsidP="00E8434F">
      <w:bookmarkStart w:id="0" w:name="_GoBack"/>
      <w:r>
        <w:rPr>
          <w:rFonts w:ascii="Verdana" w:hAnsi="Verdana"/>
          <w:b/>
          <w:bCs/>
          <w:color w:val="000000"/>
          <w:shd w:val="clear" w:color="auto" w:fill="FFFFFF"/>
        </w:rPr>
        <w:t>Єрєгян Анаіда Робертівна. Поняття злочину та покарання в джерелах права Київської Русі (IX-XII ст.): загальнотеоретичний аспект</w:t>
      </w:r>
      <w:bookmarkEnd w:id="0"/>
      <w:r>
        <w:rPr>
          <w:rFonts w:ascii="Verdana" w:hAnsi="Verdana"/>
          <w:b/>
          <w:bCs/>
          <w:color w:val="000000"/>
          <w:shd w:val="clear" w:color="auto" w:fill="FFFFFF"/>
        </w:rPr>
        <w:t>.- Дис. канд. юрид. наук: 12.00.01, Відкр. міжнар. ун-т розвитку людини "Україна". - Київ, 2014.- 200 с.</w:t>
      </w:r>
    </w:p>
    <w:sectPr w:rsidR="007E26B4" w:rsidRPr="00E843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BEF16" w14:textId="77777777" w:rsidR="00F64953" w:rsidRDefault="00F64953">
      <w:pPr>
        <w:spacing w:after="0" w:line="240" w:lineRule="auto"/>
      </w:pPr>
      <w:r>
        <w:separator/>
      </w:r>
    </w:p>
  </w:endnote>
  <w:endnote w:type="continuationSeparator" w:id="0">
    <w:p w14:paraId="588E136D" w14:textId="77777777" w:rsidR="00F64953" w:rsidRDefault="00F6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D0358" w14:textId="77777777" w:rsidR="00F64953" w:rsidRDefault="00F64953">
      <w:pPr>
        <w:spacing w:after="0" w:line="240" w:lineRule="auto"/>
      </w:pPr>
      <w:r>
        <w:separator/>
      </w:r>
    </w:p>
  </w:footnote>
  <w:footnote w:type="continuationSeparator" w:id="0">
    <w:p w14:paraId="1B8690BD" w14:textId="77777777" w:rsidR="00F64953" w:rsidRDefault="00F64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953"/>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10229</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1959</cp:revision>
  <cp:lastPrinted>2009-02-06T05:36:00Z</cp:lastPrinted>
  <dcterms:created xsi:type="dcterms:W3CDTF">2016-09-19T15:12:00Z</dcterms:created>
  <dcterms:modified xsi:type="dcterms:W3CDTF">2017-01-08T13:04:00Z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