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22A69" w14:textId="1250F8F5" w:rsidR="003B0102" w:rsidRDefault="0044472C" w:rsidP="0044472C">
      <w:pPr>
        <w:rPr>
          <w:rFonts w:ascii="Verdana" w:hAnsi="Verdana"/>
          <w:b/>
          <w:bCs/>
          <w:color w:val="000000"/>
          <w:shd w:val="clear" w:color="auto" w:fill="FFFFFF"/>
        </w:rPr>
      </w:pPr>
      <w:r>
        <w:rPr>
          <w:rFonts w:ascii="Verdana" w:hAnsi="Verdana"/>
          <w:b/>
          <w:bCs/>
          <w:color w:val="000000"/>
          <w:shd w:val="clear" w:color="auto" w:fill="FFFFFF"/>
        </w:rPr>
        <w:t>Пєєв Андрій Михайлович. Дослідження та розробка раціональних конструкцій подовжених зарядів з регулюванням динамічного навантаження донної частини свердловини : дис... канд. техн. наук: 05.15.11 / Кременчуцький держ. політехнічний ун-т. - Кременчук,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472C" w:rsidRPr="0044472C" w14:paraId="31812720" w14:textId="77777777" w:rsidTr="004447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472C" w:rsidRPr="0044472C" w14:paraId="2572F071" w14:textId="77777777">
              <w:trPr>
                <w:tblCellSpacing w:w="0" w:type="dxa"/>
              </w:trPr>
              <w:tc>
                <w:tcPr>
                  <w:tcW w:w="0" w:type="auto"/>
                  <w:vAlign w:val="center"/>
                  <w:hideMark/>
                </w:tcPr>
                <w:p w14:paraId="684B67C5" w14:textId="77777777" w:rsidR="0044472C" w:rsidRPr="0044472C" w:rsidRDefault="0044472C" w:rsidP="00444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72C">
                    <w:rPr>
                      <w:rFonts w:ascii="Times New Roman" w:eastAsia="Times New Roman" w:hAnsi="Times New Roman" w:cs="Times New Roman"/>
                      <w:sz w:val="24"/>
                      <w:szCs w:val="24"/>
                    </w:rPr>
                    <w:lastRenderedPageBreak/>
                    <w:t>Пєєв А.М. Дослідження і розробка раціональних конструкцій подовжених зарядів з реґулюванням динамічного навантаження донної частини свердловини. – Рукопис.</w:t>
                  </w:r>
                </w:p>
                <w:p w14:paraId="2FD8D75F" w14:textId="77777777" w:rsidR="0044472C" w:rsidRPr="0044472C" w:rsidRDefault="0044472C" w:rsidP="00444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72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05.15.11 – Фізичні процеси гірничого виробництва – Кременчуцький державний політехнічний університет, м. Кременчук, 2005 р.</w:t>
                  </w:r>
                </w:p>
                <w:p w14:paraId="2CCB1315" w14:textId="77777777" w:rsidR="0044472C" w:rsidRPr="0044472C" w:rsidRDefault="0044472C" w:rsidP="00444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72C">
                    <w:rPr>
                      <w:rFonts w:ascii="Times New Roman" w:eastAsia="Times New Roman" w:hAnsi="Times New Roman" w:cs="Times New Roman"/>
                      <w:sz w:val="24"/>
                      <w:szCs w:val="24"/>
                    </w:rPr>
                    <w:t>Метою роботи є підвищення ефективності дії вибуху свердловинних зарядів під час руйнування гірських порід, якого досягають за рахунок керування хвильовими процесами в донній частині свердловини.</w:t>
                  </w:r>
                </w:p>
                <w:p w14:paraId="05A7CF9E" w14:textId="77777777" w:rsidR="0044472C" w:rsidRPr="0044472C" w:rsidRDefault="0044472C" w:rsidP="00444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72C">
                    <w:rPr>
                      <w:rFonts w:ascii="Times New Roman" w:eastAsia="Times New Roman" w:hAnsi="Times New Roman" w:cs="Times New Roman"/>
                      <w:sz w:val="24"/>
                      <w:szCs w:val="24"/>
                    </w:rPr>
                    <w:t>Теоретично й експериментально доведено, що знижувати величину перебуру свердловин і поліпшувати пророблення підошви уступу можна, розміщуючи в донній частині два чи три бойовики, зміщені в такий спосіб від вісі заряду, що зустріч детонаційних хвиль від них відбувається в місці сполучення дна і стінок свердловини, або розміщуючи в донній частині свердловини концентратор ударних хвиль (КУХ), виконаний з інертного матеріалу у вигляді конуса. Використання зарядів з КУХ у донній частині дозволяє також знизити вихід неґабариту в 1,7 раза.</w:t>
                  </w:r>
                </w:p>
                <w:p w14:paraId="11D4A2B7" w14:textId="77777777" w:rsidR="0044472C" w:rsidRPr="0044472C" w:rsidRDefault="0044472C" w:rsidP="00444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72C">
                    <w:rPr>
                      <w:rFonts w:ascii="Times New Roman" w:eastAsia="Times New Roman" w:hAnsi="Times New Roman" w:cs="Times New Roman"/>
                      <w:sz w:val="24"/>
                      <w:szCs w:val="24"/>
                    </w:rPr>
                    <w:t>Основні результати роботи впроваджені на кар'єрах Кременчуцького реґіону.</w:t>
                  </w:r>
                </w:p>
              </w:tc>
            </w:tr>
          </w:tbl>
          <w:p w14:paraId="457EEE1A" w14:textId="77777777" w:rsidR="0044472C" w:rsidRPr="0044472C" w:rsidRDefault="0044472C" w:rsidP="0044472C">
            <w:pPr>
              <w:spacing w:after="0" w:line="240" w:lineRule="auto"/>
              <w:rPr>
                <w:rFonts w:ascii="Times New Roman" w:eastAsia="Times New Roman" w:hAnsi="Times New Roman" w:cs="Times New Roman"/>
                <w:sz w:val="24"/>
                <w:szCs w:val="24"/>
              </w:rPr>
            </w:pPr>
          </w:p>
        </w:tc>
      </w:tr>
      <w:tr w:rsidR="0044472C" w:rsidRPr="0044472C" w14:paraId="2C1A8FE0" w14:textId="77777777" w:rsidTr="004447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472C" w:rsidRPr="0044472C" w14:paraId="61F8367F" w14:textId="77777777">
              <w:trPr>
                <w:tblCellSpacing w:w="0" w:type="dxa"/>
              </w:trPr>
              <w:tc>
                <w:tcPr>
                  <w:tcW w:w="0" w:type="auto"/>
                  <w:vAlign w:val="center"/>
                  <w:hideMark/>
                </w:tcPr>
                <w:p w14:paraId="42C6BBA2" w14:textId="77777777" w:rsidR="0044472C" w:rsidRPr="0044472C" w:rsidRDefault="0044472C" w:rsidP="00444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72C">
                    <w:rPr>
                      <w:rFonts w:ascii="Times New Roman" w:eastAsia="Times New Roman" w:hAnsi="Times New Roman" w:cs="Times New Roman"/>
                      <w:sz w:val="24"/>
                      <w:szCs w:val="24"/>
                    </w:rPr>
                    <w:t>У даній дисертаційній роботі викладено нове розв’язання важливої науково-технічної проблеми – підвищення ефективності дії вибухових робіт під час руйнування гірських порід, основане на керуванні хвильовими процесами в донній частині свердловини.</w:t>
                  </w:r>
                </w:p>
                <w:p w14:paraId="5D191ADA" w14:textId="77777777" w:rsidR="0044472C" w:rsidRPr="0044472C" w:rsidRDefault="0044472C" w:rsidP="00444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72C">
                    <w:rPr>
                      <w:rFonts w:ascii="Times New Roman" w:eastAsia="Times New Roman" w:hAnsi="Times New Roman" w:cs="Times New Roman"/>
                      <w:sz w:val="24"/>
                      <w:szCs w:val="24"/>
                    </w:rPr>
                    <w:t>Основні наукові висновки і практичні рекомендації, отримані під час виконання даних досліджень і впровадження розробок, полягають у наступному:</w:t>
                  </w:r>
                </w:p>
                <w:p w14:paraId="272817B4" w14:textId="77777777" w:rsidR="0044472C" w:rsidRPr="0044472C" w:rsidRDefault="0044472C" w:rsidP="00444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72C">
                    <w:rPr>
                      <w:rFonts w:ascii="Times New Roman" w:eastAsia="Times New Roman" w:hAnsi="Times New Roman" w:cs="Times New Roman"/>
                      <w:sz w:val="24"/>
                      <w:szCs w:val="24"/>
                    </w:rPr>
                    <w:t>1. Проведений аналіз теоретичних і експериментальних досліджень вітчизняних і закордонних авторів, а також узагальнення досвіду передових підприємств гірничодобувної галузі свідчать, що сучасні методи підвищення ефективності дії вибуху під час руйнування гірських порід не повною мірою враховують процеси, що протікають у донній частині свердловини під час вибуху циліндричного заряду. Тому вивчення даного питання і розробка на підставі отриманих результатів нових конструкцій зарядів, що сприяють зменшенню величини перебуру і поліпшують пророблення підошви уступу, дозволить підвищити ефективність ведення БВР.</w:t>
                  </w:r>
                </w:p>
                <w:p w14:paraId="48222D8E" w14:textId="77777777" w:rsidR="0044472C" w:rsidRPr="0044472C" w:rsidRDefault="0044472C" w:rsidP="00444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72C">
                    <w:rPr>
                      <w:rFonts w:ascii="Times New Roman" w:eastAsia="Times New Roman" w:hAnsi="Times New Roman" w:cs="Times New Roman"/>
                      <w:sz w:val="24"/>
                      <w:szCs w:val="24"/>
                    </w:rPr>
                    <w:t>2. У результаті теоретичних і експериментальних досліджень установлено, що для посилення процесу розвитку поперечних тріщин, що проходять на рівні дна свердловини, бойовики варто зміщати відносно вісі заряду таким чином, щоб зустріч детонаційних хвиль, що поширюються по ВР, відбувалася на лінії сполучення дна і стінок свердловини, де знаходиться концентратор напруг (патент України №7756 від 15.07.2005 р.).</w:t>
                  </w:r>
                </w:p>
                <w:p w14:paraId="623A8045" w14:textId="77777777" w:rsidR="0044472C" w:rsidRPr="0044472C" w:rsidRDefault="0044472C" w:rsidP="00444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72C">
                    <w:rPr>
                      <w:rFonts w:ascii="Times New Roman" w:eastAsia="Times New Roman" w:hAnsi="Times New Roman" w:cs="Times New Roman"/>
                      <w:sz w:val="24"/>
                      <w:szCs w:val="24"/>
                    </w:rPr>
                    <w:t>3. Уперше отримані залежності, що дозволяють визначити відстані між бойовиками під час взаємодії детонаційних хвиль для створення зони інтенсивного впливу в донній частині свердловини по один бік від її вісі (від двох ініціаторів) і по обидва боки вісі заряду (для трьох ініціаторів).</w:t>
                  </w:r>
                </w:p>
                <w:p w14:paraId="7957AF2E" w14:textId="77777777" w:rsidR="0044472C" w:rsidRPr="0044472C" w:rsidRDefault="0044472C" w:rsidP="00444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72C">
                    <w:rPr>
                      <w:rFonts w:ascii="Times New Roman" w:eastAsia="Times New Roman" w:hAnsi="Times New Roman" w:cs="Times New Roman"/>
                      <w:sz w:val="24"/>
                      <w:szCs w:val="24"/>
                    </w:rPr>
                    <w:lastRenderedPageBreak/>
                    <w:t>4. Установлено, що при розташуванні трьох бойовиків у нижній частині свердловини, яке дозволяє створювати напрямлену взаємодію детонаційних хвиль на донну частину свердловини, максимальні відносні нормальні напруги, що діють у танґенціальному напрямку від осі заряду для всіх розрахованих фіксованих моментів часу перевищують аналогічні значення для інших розглянутих схем розташування бойовиків.</w:t>
                  </w:r>
                </w:p>
                <w:p w14:paraId="33E868EE" w14:textId="77777777" w:rsidR="0044472C" w:rsidRPr="0044472C" w:rsidRDefault="0044472C" w:rsidP="00444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72C">
                    <w:rPr>
                      <w:rFonts w:ascii="Times New Roman" w:eastAsia="Times New Roman" w:hAnsi="Times New Roman" w:cs="Times New Roman"/>
                      <w:sz w:val="24"/>
                      <w:szCs w:val="24"/>
                    </w:rPr>
                    <w:t>5. Уперше теоретично обґрунтовані оптимальні геометричні параметри концентратора ударних хвиль (КУХ), розташовуваного в нижній частині свердловини, що забезпечують збільшення зони посиленого динамічного навантаження на донну частину свердловини і дозволяють зменшити вплив відбитої хвилі на матеріал забійки.</w:t>
                  </w:r>
                </w:p>
                <w:p w14:paraId="760E379E" w14:textId="77777777" w:rsidR="0044472C" w:rsidRPr="0044472C" w:rsidRDefault="0044472C" w:rsidP="00444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72C">
                    <w:rPr>
                      <w:rFonts w:ascii="Times New Roman" w:eastAsia="Times New Roman" w:hAnsi="Times New Roman" w:cs="Times New Roman"/>
                      <w:sz w:val="24"/>
                      <w:szCs w:val="24"/>
                    </w:rPr>
                    <w:t>6. Експериментальними дослідженнями виявлено взаємозв'язок між кутом () конічного КУХ і зміною характеру динамічного навантаження середовища під час вибуху. Установлено, що при = 45</w:t>
                  </w:r>
                  <w:r w:rsidRPr="0044472C">
                    <w:rPr>
                      <w:rFonts w:ascii="Times New Roman" w:eastAsia="Times New Roman" w:hAnsi="Times New Roman" w:cs="Times New Roman"/>
                      <w:sz w:val="24"/>
                      <w:szCs w:val="24"/>
                      <w:vertAlign w:val="superscript"/>
                    </w:rPr>
                    <w:t>0</w:t>
                  </w:r>
                  <w:r w:rsidRPr="0044472C">
                    <w:rPr>
                      <w:rFonts w:ascii="Times New Roman" w:eastAsia="Times New Roman" w:hAnsi="Times New Roman" w:cs="Times New Roman"/>
                      <w:sz w:val="24"/>
                      <w:szCs w:val="24"/>
                    </w:rPr>
                    <w:t> досягається максимальне посилення динамічного впливу на шари середовища, розташовані в нижній частині свердловини, при цьому пророблення підошви поліпшується в 1,3–2,3 раза порівняно зі звичайним зарядом. При 15</w:t>
                  </w:r>
                  <w:r w:rsidRPr="0044472C">
                    <w:rPr>
                      <w:rFonts w:ascii="Times New Roman" w:eastAsia="Times New Roman" w:hAnsi="Times New Roman" w:cs="Times New Roman"/>
                      <w:sz w:val="24"/>
                      <w:szCs w:val="24"/>
                      <w:vertAlign w:val="superscript"/>
                    </w:rPr>
                    <w:t>0</w:t>
                  </w:r>
                  <w:r w:rsidRPr="0044472C">
                    <w:rPr>
                      <w:rFonts w:ascii="Times New Roman" w:eastAsia="Times New Roman" w:hAnsi="Times New Roman" w:cs="Times New Roman"/>
                      <w:sz w:val="24"/>
                      <w:szCs w:val="24"/>
                    </w:rPr>
                    <w:t> &lt; &lt; 40</w:t>
                  </w:r>
                  <w:r w:rsidRPr="0044472C">
                    <w:rPr>
                      <w:rFonts w:ascii="Times New Roman" w:eastAsia="Times New Roman" w:hAnsi="Times New Roman" w:cs="Times New Roman"/>
                      <w:sz w:val="24"/>
                      <w:szCs w:val="24"/>
                      <w:vertAlign w:val="superscript"/>
                    </w:rPr>
                    <w:t>0</w:t>
                  </w:r>
                  <w:r w:rsidRPr="0044472C">
                    <w:rPr>
                      <w:rFonts w:ascii="Times New Roman" w:eastAsia="Times New Roman" w:hAnsi="Times New Roman" w:cs="Times New Roman"/>
                      <w:sz w:val="24"/>
                      <w:szCs w:val="24"/>
                    </w:rPr>
                    <w:t> істотно знижується динамічний вплив відбитих від дна свердловини хвиль на матеріал забійки.</w:t>
                  </w:r>
                </w:p>
                <w:p w14:paraId="1A789B57" w14:textId="77777777" w:rsidR="0044472C" w:rsidRPr="0044472C" w:rsidRDefault="0044472C" w:rsidP="00444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72C">
                    <w:rPr>
                      <w:rFonts w:ascii="Times New Roman" w:eastAsia="Times New Roman" w:hAnsi="Times New Roman" w:cs="Times New Roman"/>
                      <w:sz w:val="24"/>
                      <w:szCs w:val="24"/>
                    </w:rPr>
                    <w:t>7. Промисловими дослідженнями встановлено, що під час використання свердловинних зарядів з КУХ у донній частині за рахунок зниження динамічного впливу відбитої ударної хвилі на матеріал забійки збільшується її час перебування в заряді й тривалість впливу продуктів детонації на масив. Це призводить до поліпшення дроблення, до зниження діаметра середнього шматка на 8 – 12% і зниження виходу неґабариту в 1,7 раза.</w:t>
                  </w:r>
                </w:p>
                <w:p w14:paraId="1FEC24A9" w14:textId="77777777" w:rsidR="0044472C" w:rsidRPr="0044472C" w:rsidRDefault="0044472C" w:rsidP="00444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72C">
                    <w:rPr>
                      <w:rFonts w:ascii="Times New Roman" w:eastAsia="Times New Roman" w:hAnsi="Times New Roman" w:cs="Times New Roman"/>
                      <w:sz w:val="24"/>
                      <w:szCs w:val="24"/>
                    </w:rPr>
                    <w:t>8. Розроблено раціональні конструкції свердловинних зарядів, застосування яких дозволяє знизити величину перебуру в 1,7 раза без погіршення якості пророблення підошви уступу.</w:t>
                  </w:r>
                </w:p>
                <w:p w14:paraId="414728E2" w14:textId="77777777" w:rsidR="0044472C" w:rsidRPr="0044472C" w:rsidRDefault="0044472C" w:rsidP="00444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72C">
                    <w:rPr>
                      <w:rFonts w:ascii="Times New Roman" w:eastAsia="Times New Roman" w:hAnsi="Times New Roman" w:cs="Times New Roman"/>
                      <w:sz w:val="24"/>
                      <w:szCs w:val="24"/>
                    </w:rPr>
                    <w:t>9. Використання розроблених конструкцій свердловинних зарядів в умовах АТ “Полтавський ГЗК” дозволило одержати економію за рахунок зниження витрат на ВР і буріння свердловин у сумі 35,6 тис. грн. (при розробці 95000 м</w:t>
                  </w:r>
                  <w:r w:rsidRPr="0044472C">
                    <w:rPr>
                      <w:rFonts w:ascii="Times New Roman" w:eastAsia="Times New Roman" w:hAnsi="Times New Roman" w:cs="Times New Roman"/>
                      <w:sz w:val="24"/>
                      <w:szCs w:val="24"/>
                      <w:vertAlign w:val="superscript"/>
                    </w:rPr>
                    <w:t>3</w:t>
                  </w:r>
                  <w:r w:rsidRPr="0044472C">
                    <w:rPr>
                      <w:rFonts w:ascii="Times New Roman" w:eastAsia="Times New Roman" w:hAnsi="Times New Roman" w:cs="Times New Roman"/>
                      <w:sz w:val="24"/>
                      <w:szCs w:val="24"/>
                    </w:rPr>
                    <w:t> гірської породи).</w:t>
                  </w:r>
                </w:p>
              </w:tc>
            </w:tr>
          </w:tbl>
          <w:p w14:paraId="0A4FA285" w14:textId="77777777" w:rsidR="0044472C" w:rsidRPr="0044472C" w:rsidRDefault="0044472C" w:rsidP="0044472C">
            <w:pPr>
              <w:spacing w:after="0" w:line="240" w:lineRule="auto"/>
              <w:rPr>
                <w:rFonts w:ascii="Times New Roman" w:eastAsia="Times New Roman" w:hAnsi="Times New Roman" w:cs="Times New Roman"/>
                <w:sz w:val="24"/>
                <w:szCs w:val="24"/>
              </w:rPr>
            </w:pPr>
          </w:p>
        </w:tc>
      </w:tr>
    </w:tbl>
    <w:p w14:paraId="476B9789" w14:textId="77777777" w:rsidR="0044472C" w:rsidRPr="0044472C" w:rsidRDefault="0044472C" w:rsidP="0044472C"/>
    <w:sectPr w:rsidR="0044472C" w:rsidRPr="004447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96DB" w14:textId="77777777" w:rsidR="008B0A13" w:rsidRDefault="008B0A13">
      <w:pPr>
        <w:spacing w:after="0" w:line="240" w:lineRule="auto"/>
      </w:pPr>
      <w:r>
        <w:separator/>
      </w:r>
    </w:p>
  </w:endnote>
  <w:endnote w:type="continuationSeparator" w:id="0">
    <w:p w14:paraId="13E8637C" w14:textId="77777777" w:rsidR="008B0A13" w:rsidRDefault="008B0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B10D" w14:textId="77777777" w:rsidR="008B0A13" w:rsidRDefault="008B0A13">
      <w:pPr>
        <w:spacing w:after="0" w:line="240" w:lineRule="auto"/>
      </w:pPr>
      <w:r>
        <w:separator/>
      </w:r>
    </w:p>
  </w:footnote>
  <w:footnote w:type="continuationSeparator" w:id="0">
    <w:p w14:paraId="30F4D0EA" w14:textId="77777777" w:rsidR="008B0A13" w:rsidRDefault="008B0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0A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13"/>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105872</TotalTime>
  <Pages>3</Pages>
  <Words>770</Words>
  <Characters>4391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1311</cp:revision>
  <dcterms:created xsi:type="dcterms:W3CDTF">2024-06-20T08:51:00Z</dcterms:created>
  <dcterms:modified xsi:type="dcterms:W3CDTF">2024-12-25T13:13:00Z</dcterms:modified>
  <cp:category/>
</cp:coreProperties>
</file>