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6DDD754E" w:rsidR="00E2479E" w:rsidRPr="00D7041A" w:rsidRDefault="00D7041A" w:rsidP="00D7041A">
      <w:r>
        <w:rPr>
          <w:rFonts w:ascii="Verdana" w:hAnsi="Verdana"/>
          <w:b/>
          <w:bCs/>
          <w:color w:val="000000"/>
          <w:shd w:val="clear" w:color="auto" w:fill="FFFFFF"/>
        </w:rPr>
        <w:t>Гоженко Олена Анатоліївна. Клініко-патогенетичне обгрунтування диференційованного застосування фізичних чинників в санаторно-курортному лікуванні хворих на гіпертонічну хворобу II стадії з супутньою патологією.- Дисертація д-ра мед. наук: 14.01.33, Крим. республік. установа "НДІ фіз. методів лікування і мед. кліматології ім. І. М. Сєченова", Держ. установа "Крим. держ. мед. ун-т ім. С. І. Георгієвського". - Ялта, 2013.- 400 с.</w:t>
      </w:r>
    </w:p>
    <w:sectPr w:rsidR="00E2479E" w:rsidRPr="00D704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BAFE" w14:textId="77777777" w:rsidR="005F2895" w:rsidRDefault="005F2895">
      <w:pPr>
        <w:spacing w:after="0" w:line="240" w:lineRule="auto"/>
      </w:pPr>
      <w:r>
        <w:separator/>
      </w:r>
    </w:p>
  </w:endnote>
  <w:endnote w:type="continuationSeparator" w:id="0">
    <w:p w14:paraId="730365CC" w14:textId="77777777" w:rsidR="005F2895" w:rsidRDefault="005F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7BFC" w14:textId="77777777" w:rsidR="005F2895" w:rsidRDefault="005F2895">
      <w:pPr>
        <w:spacing w:after="0" w:line="240" w:lineRule="auto"/>
      </w:pPr>
      <w:r>
        <w:separator/>
      </w:r>
    </w:p>
  </w:footnote>
  <w:footnote w:type="continuationSeparator" w:id="0">
    <w:p w14:paraId="7EE34394" w14:textId="77777777" w:rsidR="005F2895" w:rsidRDefault="005F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28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895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123743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4877</cp:revision>
  <dcterms:created xsi:type="dcterms:W3CDTF">2024-06-20T08:51:00Z</dcterms:created>
  <dcterms:modified xsi:type="dcterms:W3CDTF">2025-01-21T11:46:00Z</dcterms:modified>
  <cp:category/>
</cp:coreProperties>
</file>