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1965EF" w:rsidRDefault="001965EF" w:rsidP="001965EF">
      <w:pPr>
        <w:rPr>
          <w:lang w:val="uk-UA"/>
        </w:rPr>
      </w:pPr>
      <w:r w:rsidRPr="001965EF">
        <w:rPr>
          <w:rFonts w:ascii="Calibri" w:eastAsia="Calibri" w:hAnsi="Calibri" w:cs="Times New Roman"/>
          <w:b/>
          <w:bCs/>
          <w:iCs/>
          <w:kern w:val="0"/>
          <w:sz w:val="24"/>
          <w:szCs w:val="24"/>
          <w:lang w:val="uk-UA" w:eastAsia="en-US"/>
        </w:rPr>
        <w:t>Ракочі Вадим Олександрович</w:t>
      </w:r>
      <w:r w:rsidRPr="001965EF">
        <w:rPr>
          <w:rFonts w:ascii="Calibri" w:eastAsia="Calibri" w:hAnsi="Calibri" w:cs="Times New Roman"/>
          <w:bCs/>
          <w:iCs/>
          <w:kern w:val="0"/>
          <w:sz w:val="24"/>
          <w:szCs w:val="24"/>
          <w:lang w:val="uk-UA" w:eastAsia="en-US"/>
        </w:rPr>
        <w:t xml:space="preserve">, </w:t>
      </w:r>
      <w:r w:rsidRPr="001965EF">
        <w:rPr>
          <w:rFonts w:ascii="Calibri" w:eastAsia="Calibri" w:hAnsi="Calibri" w:cs="Times New Roman"/>
          <w:bCs/>
          <w:kern w:val="0"/>
          <w:sz w:val="24"/>
          <w:szCs w:val="24"/>
          <w:lang w:val="uk-UA" w:eastAsia="en-US"/>
        </w:rPr>
        <w:t>викладач циклової комісії «Музично-теоретичних дисциплін» Київської муніципальної академії музики імені Р. М. Глієра. Назва дисертації: «Інструментальний концерт XVII–XVIIІ століть: генеза, класифікація, оркестр»</w:t>
      </w:r>
      <w:r w:rsidRPr="001965EF">
        <w:rPr>
          <w:rFonts w:ascii="Calibri" w:eastAsia="Calibri" w:hAnsi="Calibri" w:cs="Times New Roman"/>
          <w:bCs/>
          <w:iCs/>
          <w:kern w:val="0"/>
          <w:sz w:val="24"/>
          <w:szCs w:val="24"/>
          <w:lang w:val="uk-UA" w:eastAsia="en-US"/>
        </w:rPr>
        <w:t xml:space="preserve">. </w:t>
      </w:r>
      <w:r w:rsidRPr="001965EF">
        <w:rPr>
          <w:rFonts w:ascii="Calibri" w:eastAsia="Calibri" w:hAnsi="Calibri" w:cs="Times New Roman"/>
          <w:b/>
          <w:i/>
          <w:kern w:val="0"/>
          <w:sz w:val="24"/>
          <w:szCs w:val="24"/>
          <w:lang w:val="uk-UA" w:eastAsia="en-US"/>
        </w:rPr>
        <w:t xml:space="preserve">Шифр та назва спеціальності </w:t>
      </w:r>
      <w:r w:rsidRPr="001965EF">
        <w:rPr>
          <w:rFonts w:ascii="Calibri" w:eastAsia="Calibri" w:hAnsi="Calibri" w:cs="Times New Roman"/>
          <w:i/>
          <w:kern w:val="0"/>
          <w:sz w:val="24"/>
          <w:szCs w:val="24"/>
          <w:lang w:val="uk-UA" w:eastAsia="en-US"/>
        </w:rPr>
        <w:t>–</w:t>
      </w:r>
      <w:r w:rsidRPr="001965EF">
        <w:rPr>
          <w:rFonts w:ascii="Calibri" w:eastAsia="Calibri" w:hAnsi="Calibri" w:cs="Times New Roman"/>
          <w:kern w:val="0"/>
          <w:sz w:val="24"/>
          <w:szCs w:val="24"/>
          <w:lang w:val="uk-UA" w:eastAsia="en-US"/>
        </w:rPr>
        <w:t xml:space="preserve"> 17.00.03 – музичне мистецтво. Спецрада Д</w:t>
      </w:r>
      <w:r w:rsidRPr="001965EF">
        <w:rPr>
          <w:rFonts w:ascii="Calibri" w:eastAsia="Calibri" w:hAnsi="Calibri" w:cs="Times New Roman"/>
          <w:bCs/>
          <w:kern w:val="0"/>
          <w:sz w:val="24"/>
          <w:szCs w:val="24"/>
          <w:lang w:val="uk-UA" w:eastAsia="en-US"/>
        </w:rPr>
        <w:t> 41.857.01 Одеської національної музичної академії імені А.В. Нежданової</w:t>
      </w:r>
    </w:p>
    <w:sectPr w:rsidR="00F239A4" w:rsidRPr="001965E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1965EF" w:rsidRPr="001965E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DBA1E-01F7-440C-8318-9EB634A5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cp:revision>
  <cp:lastPrinted>2009-02-06T05:36:00Z</cp:lastPrinted>
  <dcterms:created xsi:type="dcterms:W3CDTF">2021-11-28T11:32:00Z</dcterms:created>
  <dcterms:modified xsi:type="dcterms:W3CDTF">2021-11-29T11:18:00Z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