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F9022" w14:textId="77777777" w:rsidR="00484271" w:rsidRPr="00484271" w:rsidRDefault="00484271" w:rsidP="00484271">
      <w:pPr>
        <w:rPr>
          <w:rFonts w:ascii="Helvetica" w:eastAsia="Symbol" w:hAnsi="Helvetica" w:cs="Helvetica"/>
          <w:b/>
          <w:bCs/>
          <w:color w:val="222222"/>
          <w:kern w:val="0"/>
          <w:sz w:val="21"/>
          <w:szCs w:val="21"/>
          <w:lang w:eastAsia="ru-RU"/>
        </w:rPr>
      </w:pPr>
      <w:r w:rsidRPr="00484271">
        <w:rPr>
          <w:rFonts w:ascii="Helvetica" w:eastAsia="Symbol" w:hAnsi="Helvetica" w:cs="Helvetica"/>
          <w:b/>
          <w:bCs/>
          <w:color w:val="222222"/>
          <w:kern w:val="0"/>
          <w:sz w:val="21"/>
          <w:szCs w:val="21"/>
          <w:lang w:eastAsia="ru-RU"/>
        </w:rPr>
        <w:t>Карабаджак, Георгий Февзиевич.</w:t>
      </w:r>
    </w:p>
    <w:p w14:paraId="53E92185" w14:textId="77777777" w:rsidR="00484271" w:rsidRPr="00484271" w:rsidRDefault="00484271" w:rsidP="00484271">
      <w:pPr>
        <w:rPr>
          <w:rFonts w:ascii="Helvetica" w:eastAsia="Symbol" w:hAnsi="Helvetica" w:cs="Helvetica"/>
          <w:b/>
          <w:bCs/>
          <w:color w:val="222222"/>
          <w:kern w:val="0"/>
          <w:sz w:val="21"/>
          <w:szCs w:val="21"/>
          <w:lang w:eastAsia="ru-RU"/>
        </w:rPr>
      </w:pPr>
      <w:r w:rsidRPr="00484271">
        <w:rPr>
          <w:rFonts w:ascii="Helvetica" w:eastAsia="Symbol" w:hAnsi="Helvetica" w:cs="Helvetica"/>
          <w:b/>
          <w:bCs/>
          <w:color w:val="222222"/>
          <w:kern w:val="0"/>
          <w:sz w:val="21"/>
          <w:szCs w:val="21"/>
          <w:lang w:eastAsia="ru-RU"/>
        </w:rPr>
        <w:t>Газоразрядные приборы для исследования ВУФ и рентгеновского излучения плазмы : диссертация ... кандидата физико-математических наук : 01.04.08. - Москва, 1985. - 172 с. : ил.</w:t>
      </w:r>
    </w:p>
    <w:p w14:paraId="31B7DBDC" w14:textId="77777777" w:rsidR="00484271" w:rsidRPr="00484271" w:rsidRDefault="00484271" w:rsidP="00484271">
      <w:pPr>
        <w:rPr>
          <w:rFonts w:ascii="Helvetica" w:eastAsia="Symbol" w:hAnsi="Helvetica" w:cs="Helvetica"/>
          <w:b/>
          <w:bCs/>
          <w:color w:val="222222"/>
          <w:kern w:val="0"/>
          <w:sz w:val="21"/>
          <w:szCs w:val="21"/>
          <w:lang w:eastAsia="ru-RU"/>
        </w:rPr>
      </w:pPr>
      <w:r w:rsidRPr="00484271">
        <w:rPr>
          <w:rFonts w:ascii="Helvetica" w:eastAsia="Symbol" w:hAnsi="Helvetica" w:cs="Helvetica"/>
          <w:b/>
          <w:bCs/>
          <w:color w:val="222222"/>
          <w:kern w:val="0"/>
          <w:sz w:val="21"/>
          <w:szCs w:val="21"/>
          <w:lang w:eastAsia="ru-RU"/>
        </w:rPr>
        <w:t>Оглавление диссертациикандидат физико-математических наук Карабаджак, Георгий Февзиевич</w:t>
      </w:r>
    </w:p>
    <w:p w14:paraId="757A5A04" w14:textId="77777777" w:rsidR="00484271" w:rsidRPr="00484271" w:rsidRDefault="00484271" w:rsidP="00484271">
      <w:pPr>
        <w:rPr>
          <w:rFonts w:ascii="Helvetica" w:eastAsia="Symbol" w:hAnsi="Helvetica" w:cs="Helvetica"/>
          <w:b/>
          <w:bCs/>
          <w:color w:val="222222"/>
          <w:kern w:val="0"/>
          <w:sz w:val="21"/>
          <w:szCs w:val="21"/>
          <w:lang w:eastAsia="ru-RU"/>
        </w:rPr>
      </w:pPr>
      <w:r w:rsidRPr="00484271">
        <w:rPr>
          <w:rFonts w:ascii="Helvetica" w:eastAsia="Symbol" w:hAnsi="Helvetica" w:cs="Helvetica"/>
          <w:b/>
          <w:bCs/>
          <w:color w:val="222222"/>
          <w:kern w:val="0"/>
          <w:sz w:val="21"/>
          <w:szCs w:val="21"/>
          <w:lang w:eastAsia="ru-RU"/>
        </w:rPr>
        <w:t>Введение.</w:t>
      </w:r>
    </w:p>
    <w:p w14:paraId="71DC3626" w14:textId="77777777" w:rsidR="00484271" w:rsidRPr="00484271" w:rsidRDefault="00484271" w:rsidP="00484271">
      <w:pPr>
        <w:rPr>
          <w:rFonts w:ascii="Helvetica" w:eastAsia="Symbol" w:hAnsi="Helvetica" w:cs="Helvetica"/>
          <w:b/>
          <w:bCs/>
          <w:color w:val="222222"/>
          <w:kern w:val="0"/>
          <w:sz w:val="21"/>
          <w:szCs w:val="21"/>
          <w:lang w:eastAsia="ru-RU"/>
        </w:rPr>
      </w:pPr>
      <w:r w:rsidRPr="00484271">
        <w:rPr>
          <w:rFonts w:ascii="Helvetica" w:eastAsia="Symbol" w:hAnsi="Helvetica" w:cs="Helvetica"/>
          <w:b/>
          <w:bCs/>
          <w:color w:val="222222"/>
          <w:kern w:val="0"/>
          <w:sz w:val="21"/>
          <w:szCs w:val="21"/>
          <w:lang w:eastAsia="ru-RU"/>
        </w:rPr>
        <w:t>Глава I. Разработка и исследование координатных газоразрядных детекторов для регистрации излучения плазмы в диапазоне длин волн Л = 600-2000 А. б</w:t>
      </w:r>
    </w:p>
    <w:p w14:paraId="281642D2" w14:textId="77777777" w:rsidR="00484271" w:rsidRPr="00484271" w:rsidRDefault="00484271" w:rsidP="00484271">
      <w:pPr>
        <w:rPr>
          <w:rFonts w:ascii="Helvetica" w:eastAsia="Symbol" w:hAnsi="Helvetica" w:cs="Helvetica"/>
          <w:b/>
          <w:bCs/>
          <w:color w:val="222222"/>
          <w:kern w:val="0"/>
          <w:sz w:val="21"/>
          <w:szCs w:val="21"/>
          <w:lang w:eastAsia="ru-RU"/>
        </w:rPr>
      </w:pPr>
      <w:r w:rsidRPr="00484271">
        <w:rPr>
          <w:rFonts w:ascii="Helvetica" w:eastAsia="Symbol" w:hAnsi="Helvetica" w:cs="Helvetica"/>
          <w:b/>
          <w:bCs/>
          <w:color w:val="222222"/>
          <w:kern w:val="0"/>
          <w:sz w:val="21"/>
          <w:szCs w:val="21"/>
          <w:lang w:eastAsia="ru-RU"/>
        </w:rPr>
        <w:t>1.1. КГД на парах этилферроцена для регистрации длинноволнового БУФ излучения.</w:t>
      </w:r>
    </w:p>
    <w:p w14:paraId="790E453B" w14:textId="77777777" w:rsidR="00484271" w:rsidRPr="00484271" w:rsidRDefault="00484271" w:rsidP="00484271">
      <w:pPr>
        <w:rPr>
          <w:rFonts w:ascii="Helvetica" w:eastAsia="Symbol" w:hAnsi="Helvetica" w:cs="Helvetica"/>
          <w:b/>
          <w:bCs/>
          <w:color w:val="222222"/>
          <w:kern w:val="0"/>
          <w:sz w:val="21"/>
          <w:szCs w:val="21"/>
          <w:lang w:eastAsia="ru-RU"/>
        </w:rPr>
      </w:pPr>
      <w:r w:rsidRPr="00484271">
        <w:rPr>
          <w:rFonts w:ascii="Helvetica" w:eastAsia="Symbol" w:hAnsi="Helvetica" w:cs="Helvetica"/>
          <w:b/>
          <w:bCs/>
          <w:color w:val="222222"/>
          <w:kern w:val="0"/>
          <w:sz w:val="21"/>
          <w:szCs w:val="21"/>
          <w:lang w:eastAsia="ru-RU"/>
        </w:rPr>
        <w:t>1.2. Сравнение этилферроцена с ТМАЕ. до</w:t>
      </w:r>
    </w:p>
    <w:p w14:paraId="3382EB8F" w14:textId="77777777" w:rsidR="00484271" w:rsidRPr="00484271" w:rsidRDefault="00484271" w:rsidP="00484271">
      <w:pPr>
        <w:rPr>
          <w:rFonts w:ascii="Helvetica" w:eastAsia="Symbol" w:hAnsi="Helvetica" w:cs="Helvetica"/>
          <w:b/>
          <w:bCs/>
          <w:color w:val="222222"/>
          <w:kern w:val="0"/>
          <w:sz w:val="21"/>
          <w:szCs w:val="21"/>
          <w:lang w:eastAsia="ru-RU"/>
        </w:rPr>
      </w:pPr>
      <w:r w:rsidRPr="00484271">
        <w:rPr>
          <w:rFonts w:ascii="Helvetica" w:eastAsia="Symbol" w:hAnsi="Helvetica" w:cs="Helvetica"/>
          <w:b/>
          <w:bCs/>
          <w:color w:val="222222"/>
          <w:kern w:val="0"/>
          <w:sz w:val="21"/>
          <w:szCs w:val="21"/>
          <w:lang w:eastAsia="ru-RU"/>
        </w:rPr>
        <w:t>1.3. Исследование газоразрядных детекторов,работающих в режиме тлеющего разряда. а) Р1сследование доменной неустойчивости положительного столба тлеющего разряда, обнаруженной в детекторах с большой амплитудой сигнала. б) Пространственно-периодическая контракция положительного столба тлеющего разряда. в) Анализ возможности улучшения координатного разрешения счетчиков с большой амплитудой импульса.</w:t>
      </w:r>
    </w:p>
    <w:p w14:paraId="4093A1FE" w14:textId="77777777" w:rsidR="00484271" w:rsidRPr="00484271" w:rsidRDefault="00484271" w:rsidP="00484271">
      <w:pPr>
        <w:rPr>
          <w:rFonts w:ascii="Helvetica" w:eastAsia="Symbol" w:hAnsi="Helvetica" w:cs="Helvetica"/>
          <w:b/>
          <w:bCs/>
          <w:color w:val="222222"/>
          <w:kern w:val="0"/>
          <w:sz w:val="21"/>
          <w:szCs w:val="21"/>
          <w:lang w:eastAsia="ru-RU"/>
        </w:rPr>
      </w:pPr>
      <w:r w:rsidRPr="00484271">
        <w:rPr>
          <w:rFonts w:ascii="Helvetica" w:eastAsia="Symbol" w:hAnsi="Helvetica" w:cs="Helvetica"/>
          <w:b/>
          <w:bCs/>
          <w:color w:val="222222"/>
          <w:kern w:val="0"/>
          <w:sz w:val="21"/>
          <w:szCs w:val="21"/>
          <w:lang w:eastAsia="ru-RU"/>
        </w:rPr>
        <w:t>1.4. Безоконный сцинтилляционный КГД для регистрации далекого БУФ излучения плазмы.</w:t>
      </w:r>
    </w:p>
    <w:p w14:paraId="7ABA6D54" w14:textId="77777777" w:rsidR="00484271" w:rsidRPr="00484271" w:rsidRDefault="00484271" w:rsidP="00484271">
      <w:pPr>
        <w:rPr>
          <w:rFonts w:ascii="Helvetica" w:eastAsia="Symbol" w:hAnsi="Helvetica" w:cs="Helvetica"/>
          <w:b/>
          <w:bCs/>
          <w:color w:val="222222"/>
          <w:kern w:val="0"/>
          <w:sz w:val="21"/>
          <w:szCs w:val="21"/>
          <w:lang w:eastAsia="ru-RU"/>
        </w:rPr>
      </w:pPr>
      <w:r w:rsidRPr="00484271">
        <w:rPr>
          <w:rFonts w:ascii="Helvetica" w:eastAsia="Symbol" w:hAnsi="Helvetica" w:cs="Helvetica"/>
          <w:b/>
          <w:bCs/>
          <w:color w:val="222222"/>
          <w:kern w:val="0"/>
          <w:sz w:val="21"/>
          <w:szCs w:val="21"/>
          <w:lang w:eastAsia="ru-RU"/>
        </w:rPr>
        <w:t>Глава 2. Координатные газоразрядные детекторы для регистрации рентгеновского излучения плазмы.</w:t>
      </w:r>
    </w:p>
    <w:p w14:paraId="5D012A79" w14:textId="77777777" w:rsidR="00484271" w:rsidRPr="00484271" w:rsidRDefault="00484271" w:rsidP="00484271">
      <w:pPr>
        <w:rPr>
          <w:rFonts w:ascii="Helvetica" w:eastAsia="Symbol" w:hAnsi="Helvetica" w:cs="Helvetica"/>
          <w:b/>
          <w:bCs/>
          <w:color w:val="222222"/>
          <w:kern w:val="0"/>
          <w:sz w:val="21"/>
          <w:szCs w:val="21"/>
          <w:lang w:eastAsia="ru-RU"/>
        </w:rPr>
      </w:pPr>
      <w:r w:rsidRPr="00484271">
        <w:rPr>
          <w:rFonts w:ascii="Helvetica" w:eastAsia="Symbol" w:hAnsi="Helvetica" w:cs="Helvetica"/>
          <w:b/>
          <w:bCs/>
          <w:color w:val="222222"/>
          <w:kern w:val="0"/>
          <w:sz w:val="21"/>
          <w:szCs w:val="21"/>
          <w:lang w:eastAsia="ru-RU"/>
        </w:rPr>
        <w:t>2.1. Обзор детекторов рентгеновского излучения.</w:t>
      </w:r>
    </w:p>
    <w:p w14:paraId="10C740A6" w14:textId="77777777" w:rsidR="00484271" w:rsidRPr="00484271" w:rsidRDefault="00484271" w:rsidP="00484271">
      <w:pPr>
        <w:rPr>
          <w:rFonts w:ascii="Helvetica" w:eastAsia="Symbol" w:hAnsi="Helvetica" w:cs="Helvetica"/>
          <w:b/>
          <w:bCs/>
          <w:color w:val="222222"/>
          <w:kern w:val="0"/>
          <w:sz w:val="21"/>
          <w:szCs w:val="21"/>
          <w:lang w:eastAsia="ru-RU"/>
        </w:rPr>
      </w:pPr>
      <w:r w:rsidRPr="00484271">
        <w:rPr>
          <w:rFonts w:ascii="Helvetica" w:eastAsia="Symbol" w:hAnsi="Helvetica" w:cs="Helvetica"/>
          <w:b/>
          <w:bCs/>
          <w:color w:val="222222"/>
          <w:kern w:val="0"/>
          <w:sz w:val="21"/>
          <w:szCs w:val="21"/>
          <w:lang w:eastAsia="ru-RU"/>
        </w:rPr>
        <w:t>2.2. Энергетическое разрешение газоразрядных детекторов</w:t>
      </w:r>
    </w:p>
    <w:p w14:paraId="4707C7DE" w14:textId="77777777" w:rsidR="00484271" w:rsidRPr="00484271" w:rsidRDefault="00484271" w:rsidP="00484271">
      <w:pPr>
        <w:rPr>
          <w:rFonts w:ascii="Helvetica" w:eastAsia="Symbol" w:hAnsi="Helvetica" w:cs="Helvetica"/>
          <w:b/>
          <w:bCs/>
          <w:color w:val="222222"/>
          <w:kern w:val="0"/>
          <w:sz w:val="21"/>
          <w:szCs w:val="21"/>
          <w:lang w:eastAsia="ru-RU"/>
        </w:rPr>
      </w:pPr>
      <w:r w:rsidRPr="00484271">
        <w:rPr>
          <w:rFonts w:ascii="Helvetica" w:eastAsia="Symbol" w:hAnsi="Helvetica" w:cs="Helvetica"/>
          <w:b/>
          <w:bCs/>
          <w:color w:val="222222"/>
          <w:kern w:val="0"/>
          <w:sz w:val="21"/>
          <w:szCs w:val="21"/>
          <w:lang w:eastAsia="ru-RU"/>
        </w:rPr>
        <w:t>2.3. Газоразрядный координатный детектор для регистрации рентгеновского излучения плазмы, работающий в неоднородной по объему газовой смеси.</w:t>
      </w:r>
    </w:p>
    <w:p w14:paraId="108B65E5" w14:textId="77777777" w:rsidR="00484271" w:rsidRPr="00484271" w:rsidRDefault="00484271" w:rsidP="00484271">
      <w:pPr>
        <w:rPr>
          <w:rFonts w:ascii="Helvetica" w:eastAsia="Symbol" w:hAnsi="Helvetica" w:cs="Helvetica"/>
          <w:b/>
          <w:bCs/>
          <w:color w:val="222222"/>
          <w:kern w:val="0"/>
          <w:sz w:val="21"/>
          <w:szCs w:val="21"/>
          <w:lang w:eastAsia="ru-RU"/>
        </w:rPr>
      </w:pPr>
      <w:r w:rsidRPr="00484271">
        <w:rPr>
          <w:rFonts w:ascii="Helvetica" w:eastAsia="Symbol" w:hAnsi="Helvetica" w:cs="Helvetica"/>
          <w:b/>
          <w:bCs/>
          <w:color w:val="222222"/>
          <w:kern w:val="0"/>
          <w:sz w:val="21"/>
          <w:szCs w:val="21"/>
          <w:lang w:eastAsia="ru-RU"/>
        </w:rPr>
        <w:t>2.4. Газоразрядный многонитевой детектор для УМР области спектра с улучшенным энергетическим разрешением7j</w:t>
      </w:r>
    </w:p>
    <w:p w14:paraId="4ED0B84A" w14:textId="77777777" w:rsidR="00484271" w:rsidRPr="00484271" w:rsidRDefault="00484271" w:rsidP="00484271">
      <w:pPr>
        <w:rPr>
          <w:rFonts w:ascii="Helvetica" w:eastAsia="Symbol" w:hAnsi="Helvetica" w:cs="Helvetica"/>
          <w:b/>
          <w:bCs/>
          <w:color w:val="222222"/>
          <w:kern w:val="0"/>
          <w:sz w:val="21"/>
          <w:szCs w:val="21"/>
          <w:lang w:eastAsia="ru-RU"/>
        </w:rPr>
      </w:pPr>
      <w:r w:rsidRPr="00484271">
        <w:rPr>
          <w:rFonts w:ascii="Helvetica" w:eastAsia="Symbol" w:hAnsi="Helvetica" w:cs="Helvetica"/>
          <w:b/>
          <w:bCs/>
          <w:color w:val="222222"/>
          <w:kern w:val="0"/>
          <w:sz w:val="21"/>
          <w:szCs w:val="21"/>
          <w:lang w:eastAsia="ru-RU"/>
        </w:rPr>
        <w:t>Глава 3. Газоразрядная электронная пушка для генерации интенсивного УМР излучения.</w:t>
      </w:r>
    </w:p>
    <w:p w14:paraId="383ACE44" w14:textId="77777777" w:rsidR="00484271" w:rsidRPr="00484271" w:rsidRDefault="00484271" w:rsidP="00484271">
      <w:pPr>
        <w:rPr>
          <w:rFonts w:ascii="Helvetica" w:eastAsia="Symbol" w:hAnsi="Helvetica" w:cs="Helvetica"/>
          <w:b/>
          <w:bCs/>
          <w:color w:val="222222"/>
          <w:kern w:val="0"/>
          <w:sz w:val="21"/>
          <w:szCs w:val="21"/>
          <w:lang w:eastAsia="ru-RU"/>
        </w:rPr>
      </w:pPr>
      <w:r w:rsidRPr="00484271">
        <w:rPr>
          <w:rFonts w:ascii="Helvetica" w:eastAsia="Symbol" w:hAnsi="Helvetica" w:cs="Helvetica"/>
          <w:b/>
          <w:bCs/>
          <w:color w:val="222222"/>
          <w:kern w:val="0"/>
          <w:sz w:val="21"/>
          <w:szCs w:val="21"/>
          <w:lang w:eastAsia="ru-RU"/>
        </w:rPr>
        <w:t>3.1. Электронно-оптические системы, формирующие электронный поток высокой интенсивности и структура ГЭП</w:t>
      </w:r>
    </w:p>
    <w:p w14:paraId="4307E94F" w14:textId="77777777" w:rsidR="00484271" w:rsidRPr="00484271" w:rsidRDefault="00484271" w:rsidP="00484271">
      <w:pPr>
        <w:rPr>
          <w:rFonts w:ascii="Helvetica" w:eastAsia="Symbol" w:hAnsi="Helvetica" w:cs="Helvetica"/>
          <w:b/>
          <w:bCs/>
          <w:color w:val="222222"/>
          <w:kern w:val="0"/>
          <w:sz w:val="21"/>
          <w:szCs w:val="21"/>
          <w:lang w:eastAsia="ru-RU"/>
        </w:rPr>
      </w:pPr>
      <w:r w:rsidRPr="00484271">
        <w:rPr>
          <w:rFonts w:ascii="Helvetica" w:eastAsia="Symbol" w:hAnsi="Helvetica" w:cs="Helvetica"/>
          <w:b/>
          <w:bCs/>
          <w:color w:val="222222"/>
          <w:kern w:val="0"/>
          <w:sz w:val="21"/>
          <w:szCs w:val="21"/>
          <w:lang w:eastAsia="ru-RU"/>
        </w:rPr>
        <w:t>3.2. Расчет газоразрядной электронной пушки.</w:t>
      </w:r>
    </w:p>
    <w:p w14:paraId="218E570A" w14:textId="77777777" w:rsidR="00484271" w:rsidRPr="00484271" w:rsidRDefault="00484271" w:rsidP="00484271">
      <w:pPr>
        <w:rPr>
          <w:rFonts w:ascii="Helvetica" w:eastAsia="Symbol" w:hAnsi="Helvetica" w:cs="Helvetica"/>
          <w:b/>
          <w:bCs/>
          <w:color w:val="222222"/>
          <w:kern w:val="0"/>
          <w:sz w:val="21"/>
          <w:szCs w:val="21"/>
          <w:lang w:eastAsia="ru-RU"/>
        </w:rPr>
      </w:pPr>
      <w:r w:rsidRPr="00484271">
        <w:rPr>
          <w:rFonts w:ascii="Helvetica" w:eastAsia="Symbol" w:hAnsi="Helvetica" w:cs="Helvetica"/>
          <w:b/>
          <w:bCs/>
          <w:color w:val="222222"/>
          <w:kern w:val="0"/>
          <w:sz w:val="21"/>
          <w:szCs w:val="21"/>
          <w:lang w:eastAsia="ru-RU"/>
        </w:rPr>
        <w:t>3.3. Конструкция газоразрядной электронной пушки.</w:t>
      </w:r>
    </w:p>
    <w:p w14:paraId="6CADDE37" w14:textId="77777777" w:rsidR="00484271" w:rsidRPr="00484271" w:rsidRDefault="00484271" w:rsidP="00484271">
      <w:pPr>
        <w:rPr>
          <w:rFonts w:ascii="Helvetica" w:eastAsia="Symbol" w:hAnsi="Helvetica" w:cs="Helvetica"/>
          <w:b/>
          <w:bCs/>
          <w:color w:val="222222"/>
          <w:kern w:val="0"/>
          <w:sz w:val="21"/>
          <w:szCs w:val="21"/>
          <w:lang w:eastAsia="ru-RU"/>
        </w:rPr>
      </w:pPr>
      <w:r w:rsidRPr="00484271">
        <w:rPr>
          <w:rFonts w:ascii="Helvetica" w:eastAsia="Symbol" w:hAnsi="Helvetica" w:cs="Helvetica"/>
          <w:b/>
          <w:bCs/>
          <w:color w:val="222222"/>
          <w:kern w:val="0"/>
          <w:sz w:val="21"/>
          <w:szCs w:val="21"/>
          <w:lang w:eastAsia="ru-RU"/>
        </w:rPr>
        <w:t>3.4. Испытания газоразрядной электронной пушки и ее основные характеристики.</w:t>
      </w:r>
    </w:p>
    <w:p w14:paraId="6532DE09" w14:textId="77777777" w:rsidR="00484271" w:rsidRPr="00484271" w:rsidRDefault="00484271" w:rsidP="00484271">
      <w:pPr>
        <w:rPr>
          <w:rFonts w:ascii="Helvetica" w:eastAsia="Symbol" w:hAnsi="Helvetica" w:cs="Helvetica"/>
          <w:b/>
          <w:bCs/>
          <w:color w:val="222222"/>
          <w:kern w:val="0"/>
          <w:sz w:val="21"/>
          <w:szCs w:val="21"/>
          <w:lang w:eastAsia="ru-RU"/>
        </w:rPr>
      </w:pPr>
      <w:r w:rsidRPr="00484271">
        <w:rPr>
          <w:rFonts w:ascii="Helvetica" w:eastAsia="Symbol" w:hAnsi="Helvetica" w:cs="Helvetica"/>
          <w:b/>
          <w:bCs/>
          <w:color w:val="222222"/>
          <w:kern w:val="0"/>
          <w:sz w:val="21"/>
          <w:szCs w:val="21"/>
          <w:lang w:eastAsia="ru-RU"/>
        </w:rPr>
        <w:t>3.5. Обсуждение результатов исследования газоразрядной электронной пушки.</w:t>
      </w:r>
    </w:p>
    <w:p w14:paraId="6B7CFB6C" w14:textId="77777777" w:rsidR="00484271" w:rsidRPr="00484271" w:rsidRDefault="00484271" w:rsidP="00484271">
      <w:pPr>
        <w:rPr>
          <w:rFonts w:ascii="Helvetica" w:eastAsia="Symbol" w:hAnsi="Helvetica" w:cs="Helvetica"/>
          <w:b/>
          <w:bCs/>
          <w:color w:val="222222"/>
          <w:kern w:val="0"/>
          <w:sz w:val="21"/>
          <w:szCs w:val="21"/>
          <w:lang w:eastAsia="ru-RU"/>
        </w:rPr>
      </w:pPr>
      <w:r w:rsidRPr="00484271">
        <w:rPr>
          <w:rFonts w:ascii="Helvetica" w:eastAsia="Symbol" w:hAnsi="Helvetica" w:cs="Helvetica"/>
          <w:b/>
          <w:bCs/>
          <w:color w:val="222222"/>
          <w:kern w:val="0"/>
          <w:sz w:val="21"/>
          <w:szCs w:val="21"/>
          <w:lang w:eastAsia="ru-RU"/>
        </w:rPr>
        <w:t>3.6. Возможные применения газоразрядной электронной пушки.</w:t>
      </w:r>
    </w:p>
    <w:p w14:paraId="34C65D9D" w14:textId="77777777" w:rsidR="00484271" w:rsidRPr="00484271" w:rsidRDefault="00484271" w:rsidP="00484271">
      <w:pPr>
        <w:rPr>
          <w:rFonts w:ascii="Helvetica" w:eastAsia="Symbol" w:hAnsi="Helvetica" w:cs="Helvetica"/>
          <w:b/>
          <w:bCs/>
          <w:color w:val="222222"/>
          <w:kern w:val="0"/>
          <w:sz w:val="21"/>
          <w:szCs w:val="21"/>
          <w:lang w:eastAsia="ru-RU"/>
        </w:rPr>
      </w:pPr>
      <w:r w:rsidRPr="00484271">
        <w:rPr>
          <w:rFonts w:ascii="Helvetica" w:eastAsia="Symbol" w:hAnsi="Helvetica" w:cs="Helvetica"/>
          <w:b/>
          <w:bCs/>
          <w:color w:val="222222"/>
          <w:kern w:val="0"/>
          <w:sz w:val="21"/>
          <w:szCs w:val="21"/>
          <w:lang w:eastAsia="ru-RU"/>
        </w:rPr>
        <w:t>Глава 4. Применение газоразрядных приборов для исследования ВУФ и УМР излучения плазмы на плазменной СВЧ установке большого давления с щелевой нагрузкой.</w:t>
      </w:r>
    </w:p>
    <w:p w14:paraId="390221C8" w14:textId="77777777" w:rsidR="00484271" w:rsidRPr="00484271" w:rsidRDefault="00484271" w:rsidP="00484271">
      <w:pPr>
        <w:rPr>
          <w:rFonts w:ascii="Helvetica" w:eastAsia="Symbol" w:hAnsi="Helvetica" w:cs="Helvetica"/>
          <w:b/>
          <w:bCs/>
          <w:color w:val="222222"/>
          <w:kern w:val="0"/>
          <w:sz w:val="21"/>
          <w:szCs w:val="21"/>
          <w:lang w:eastAsia="ru-RU"/>
        </w:rPr>
      </w:pPr>
      <w:r w:rsidRPr="00484271">
        <w:rPr>
          <w:rFonts w:ascii="Helvetica" w:eastAsia="Symbol" w:hAnsi="Helvetica" w:cs="Helvetica"/>
          <w:b/>
          <w:bCs/>
          <w:color w:val="222222"/>
          <w:kern w:val="0"/>
          <w:sz w:val="21"/>
          <w:szCs w:val="21"/>
          <w:lang w:eastAsia="ru-RU"/>
        </w:rPr>
        <w:t>4.1. Предварительные измерения ВУФ и УМР излучения дей-териевой плазмы на установке с щелевой нагрзкой при давлении до 10 атм и мощности до 30 кВт.</w:t>
      </w:r>
    </w:p>
    <w:p w14:paraId="21D6D604" w14:textId="77777777" w:rsidR="00484271" w:rsidRPr="00484271" w:rsidRDefault="00484271" w:rsidP="00484271">
      <w:pPr>
        <w:rPr>
          <w:rFonts w:ascii="Helvetica" w:eastAsia="Symbol" w:hAnsi="Helvetica" w:cs="Helvetica"/>
          <w:b/>
          <w:bCs/>
          <w:color w:val="222222"/>
          <w:kern w:val="0"/>
          <w:sz w:val="21"/>
          <w:szCs w:val="21"/>
          <w:lang w:eastAsia="ru-RU"/>
        </w:rPr>
      </w:pPr>
      <w:r w:rsidRPr="00484271">
        <w:rPr>
          <w:rFonts w:ascii="Helvetica" w:eastAsia="Symbol" w:hAnsi="Helvetica" w:cs="Helvetica"/>
          <w:b/>
          <w:bCs/>
          <w:color w:val="222222"/>
          <w:kern w:val="0"/>
          <w:sz w:val="21"/>
          <w:szCs w:val="21"/>
          <w:lang w:eastAsia="ru-RU"/>
        </w:rPr>
        <w:lastRenderedPageBreak/>
        <w:t>4.2. Регистрация УМР излучения при пробоях между стаканами в резонаторе.</w:t>
      </w:r>
    </w:p>
    <w:p w14:paraId="49DD218F" w14:textId="77777777" w:rsidR="00484271" w:rsidRPr="00484271" w:rsidRDefault="00484271" w:rsidP="00484271">
      <w:pPr>
        <w:rPr>
          <w:rFonts w:ascii="Helvetica" w:eastAsia="Symbol" w:hAnsi="Helvetica" w:cs="Helvetica"/>
          <w:b/>
          <w:bCs/>
          <w:color w:val="222222"/>
          <w:kern w:val="0"/>
          <w:sz w:val="21"/>
          <w:szCs w:val="21"/>
          <w:lang w:eastAsia="ru-RU"/>
        </w:rPr>
      </w:pPr>
      <w:r w:rsidRPr="00484271">
        <w:rPr>
          <w:rFonts w:ascii="Helvetica" w:eastAsia="Symbol" w:hAnsi="Helvetica" w:cs="Helvetica"/>
          <w:b/>
          <w:bCs/>
          <w:color w:val="222222"/>
          <w:kern w:val="0"/>
          <w:sz w:val="21"/>
          <w:szCs w:val="21"/>
          <w:lang w:eastAsia="ru-RU"/>
        </w:rPr>
        <w:t>4.3. Отладка СВЧ плазменной установки.</w:t>
      </w:r>
    </w:p>
    <w:p w14:paraId="435D3714" w14:textId="77777777" w:rsidR="00484271" w:rsidRPr="00484271" w:rsidRDefault="00484271" w:rsidP="00484271">
      <w:pPr>
        <w:rPr>
          <w:rFonts w:ascii="Helvetica" w:eastAsia="Symbol" w:hAnsi="Helvetica" w:cs="Helvetica"/>
          <w:b/>
          <w:bCs/>
          <w:color w:val="222222"/>
          <w:kern w:val="0"/>
          <w:sz w:val="21"/>
          <w:szCs w:val="21"/>
          <w:lang w:eastAsia="ru-RU"/>
        </w:rPr>
      </w:pPr>
      <w:r w:rsidRPr="00484271">
        <w:rPr>
          <w:rFonts w:ascii="Helvetica" w:eastAsia="Symbol" w:hAnsi="Helvetica" w:cs="Helvetica"/>
          <w:b/>
          <w:bCs/>
          <w:color w:val="222222"/>
          <w:kern w:val="0"/>
          <w:sz w:val="21"/>
          <w:szCs w:val="21"/>
          <w:lang w:eastAsia="ru-RU"/>
        </w:rPr>
        <w:t>4.4. Исследование УМР и ВУФ излучения при вводимой мощности до 60 кВт.</w:t>
      </w:r>
    </w:p>
    <w:p w14:paraId="6A16C2B8" w14:textId="77777777" w:rsidR="00484271" w:rsidRPr="00484271" w:rsidRDefault="00484271" w:rsidP="00484271">
      <w:pPr>
        <w:rPr>
          <w:rFonts w:ascii="Helvetica" w:eastAsia="Symbol" w:hAnsi="Helvetica" w:cs="Helvetica"/>
          <w:b/>
          <w:bCs/>
          <w:color w:val="222222"/>
          <w:kern w:val="0"/>
          <w:sz w:val="21"/>
          <w:szCs w:val="21"/>
          <w:lang w:eastAsia="ru-RU"/>
        </w:rPr>
      </w:pPr>
      <w:r w:rsidRPr="00484271">
        <w:rPr>
          <w:rFonts w:ascii="Helvetica" w:eastAsia="Symbol" w:hAnsi="Helvetica" w:cs="Helvetica"/>
          <w:b/>
          <w:bCs/>
          <w:color w:val="222222"/>
          <w:kern w:val="0"/>
          <w:sz w:val="21"/>
          <w:szCs w:val="21"/>
          <w:lang w:eastAsia="ru-RU"/>
        </w:rPr>
        <w:t>4.5. Определение прозрачности плазмы СВЧ разряда для</w:t>
      </w:r>
    </w:p>
    <w:p w14:paraId="0638FF7D" w14:textId="77777777" w:rsidR="00484271" w:rsidRPr="00484271" w:rsidRDefault="00484271" w:rsidP="00484271">
      <w:pPr>
        <w:rPr>
          <w:rFonts w:ascii="Helvetica" w:eastAsia="Symbol" w:hAnsi="Helvetica" w:cs="Helvetica"/>
          <w:b/>
          <w:bCs/>
          <w:color w:val="222222"/>
          <w:kern w:val="0"/>
          <w:sz w:val="21"/>
          <w:szCs w:val="21"/>
          <w:lang w:eastAsia="ru-RU"/>
        </w:rPr>
      </w:pPr>
      <w:r w:rsidRPr="00484271">
        <w:rPr>
          <w:rFonts w:ascii="Helvetica" w:eastAsia="Symbol" w:hAnsi="Helvetica" w:cs="Helvetica"/>
          <w:b/>
          <w:bCs/>
          <w:color w:val="222222"/>
          <w:kern w:val="0"/>
          <w:sz w:val="21"/>
          <w:szCs w:val="21"/>
          <w:lang w:eastAsia="ru-RU"/>
        </w:rPr>
        <w:t>УМР излучения.</w:t>
      </w:r>
    </w:p>
    <w:p w14:paraId="53AE0E70" w14:textId="77777777" w:rsidR="00484271" w:rsidRPr="00484271" w:rsidRDefault="00484271" w:rsidP="00484271">
      <w:pPr>
        <w:rPr>
          <w:rFonts w:ascii="Helvetica" w:eastAsia="Symbol" w:hAnsi="Helvetica" w:cs="Helvetica"/>
          <w:b/>
          <w:bCs/>
          <w:color w:val="222222"/>
          <w:kern w:val="0"/>
          <w:sz w:val="21"/>
          <w:szCs w:val="21"/>
          <w:lang w:eastAsia="ru-RU"/>
        </w:rPr>
      </w:pPr>
      <w:r w:rsidRPr="00484271">
        <w:rPr>
          <w:rFonts w:ascii="Helvetica" w:eastAsia="Symbol" w:hAnsi="Helvetica" w:cs="Helvetica"/>
          <w:b/>
          <w:bCs/>
          <w:color w:val="222222"/>
          <w:kern w:val="0"/>
          <w:sz w:val="21"/>
          <w:szCs w:val="21"/>
          <w:lang w:eastAsia="ru-RU"/>
        </w:rPr>
        <w:t>4.6. Измерение электронной температуры нитевидных, образований в плазме СВЧ разряда с помощью КГД с высоким энергетическим разрешением.</w:t>
      </w:r>
    </w:p>
    <w:p w14:paraId="3869883D" w14:textId="38BB60FF" w:rsidR="00F11235" w:rsidRPr="00484271" w:rsidRDefault="00F11235" w:rsidP="00484271"/>
    <w:sectPr w:rsidR="00F11235" w:rsidRPr="0048427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4CA0E" w14:textId="77777777" w:rsidR="00B96AA5" w:rsidRDefault="00B96AA5">
      <w:pPr>
        <w:spacing w:after="0" w:line="240" w:lineRule="auto"/>
      </w:pPr>
      <w:r>
        <w:separator/>
      </w:r>
    </w:p>
  </w:endnote>
  <w:endnote w:type="continuationSeparator" w:id="0">
    <w:p w14:paraId="3C4EDE19" w14:textId="77777777" w:rsidR="00B96AA5" w:rsidRDefault="00B96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EB9B3" w14:textId="77777777" w:rsidR="00B96AA5" w:rsidRDefault="00B96AA5"/>
    <w:p w14:paraId="1926FCE1" w14:textId="77777777" w:rsidR="00B96AA5" w:rsidRDefault="00B96AA5"/>
    <w:p w14:paraId="07C014BD" w14:textId="77777777" w:rsidR="00B96AA5" w:rsidRDefault="00B96AA5"/>
    <w:p w14:paraId="6EE857B2" w14:textId="77777777" w:rsidR="00B96AA5" w:rsidRDefault="00B96AA5"/>
    <w:p w14:paraId="62793AFA" w14:textId="77777777" w:rsidR="00B96AA5" w:rsidRDefault="00B96AA5"/>
    <w:p w14:paraId="5FD877A3" w14:textId="77777777" w:rsidR="00B96AA5" w:rsidRDefault="00B96AA5"/>
    <w:p w14:paraId="0E729ADC" w14:textId="77777777" w:rsidR="00B96AA5" w:rsidRDefault="00B96AA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AC57E64" wp14:editId="558E66B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0B5ED" w14:textId="77777777" w:rsidR="00B96AA5" w:rsidRDefault="00B96AA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AC57E6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EB0B5ED" w14:textId="77777777" w:rsidR="00B96AA5" w:rsidRDefault="00B96AA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DAB99F3" w14:textId="77777777" w:rsidR="00B96AA5" w:rsidRDefault="00B96AA5"/>
    <w:p w14:paraId="1B3DE9AE" w14:textId="77777777" w:rsidR="00B96AA5" w:rsidRDefault="00B96AA5"/>
    <w:p w14:paraId="313A68FE" w14:textId="77777777" w:rsidR="00B96AA5" w:rsidRDefault="00B96AA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3086B80" wp14:editId="0510FD9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12DB59" w14:textId="77777777" w:rsidR="00B96AA5" w:rsidRDefault="00B96AA5"/>
                          <w:p w14:paraId="0175BCED" w14:textId="77777777" w:rsidR="00B96AA5" w:rsidRDefault="00B96AA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086B8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F12DB59" w14:textId="77777777" w:rsidR="00B96AA5" w:rsidRDefault="00B96AA5"/>
                    <w:p w14:paraId="0175BCED" w14:textId="77777777" w:rsidR="00B96AA5" w:rsidRDefault="00B96AA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8DA9544" w14:textId="77777777" w:rsidR="00B96AA5" w:rsidRDefault="00B96AA5"/>
    <w:p w14:paraId="649D25FF" w14:textId="77777777" w:rsidR="00B96AA5" w:rsidRDefault="00B96AA5">
      <w:pPr>
        <w:rPr>
          <w:sz w:val="2"/>
          <w:szCs w:val="2"/>
        </w:rPr>
      </w:pPr>
    </w:p>
    <w:p w14:paraId="7BC78EBC" w14:textId="77777777" w:rsidR="00B96AA5" w:rsidRDefault="00B96AA5"/>
    <w:p w14:paraId="31BBC01A" w14:textId="77777777" w:rsidR="00B96AA5" w:rsidRDefault="00B96AA5">
      <w:pPr>
        <w:spacing w:after="0" w:line="240" w:lineRule="auto"/>
      </w:pPr>
    </w:p>
  </w:footnote>
  <w:footnote w:type="continuationSeparator" w:id="0">
    <w:p w14:paraId="077F44B7" w14:textId="77777777" w:rsidR="00B96AA5" w:rsidRDefault="00B96A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A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169197</TotalTime>
  <Pages>2</Pages>
  <Words>400</Words>
  <Characters>2282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5371</cp:revision>
  <cp:lastPrinted>2009-02-06T05:36:00Z</cp:lastPrinted>
  <dcterms:created xsi:type="dcterms:W3CDTF">2024-01-07T13:43:00Z</dcterms:created>
  <dcterms:modified xsi:type="dcterms:W3CDTF">2025-09-25T18:00:00Z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