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85B3" w14:textId="77777777" w:rsidR="00434207" w:rsidRDefault="00434207" w:rsidP="00434207">
      <w:pPr>
        <w:pStyle w:val="210"/>
        <w:shd w:val="clear" w:color="auto" w:fill="auto"/>
        <w:spacing w:after="1540"/>
        <w:ind w:left="6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«Уфимский государственный нефтяной технический университет»</w:t>
      </w:r>
    </w:p>
    <w:p w14:paraId="4C78EE0E" w14:textId="77777777" w:rsidR="00434207" w:rsidRDefault="00434207" w:rsidP="00434207">
      <w:pPr>
        <w:pStyle w:val="210"/>
        <w:shd w:val="clear" w:color="auto" w:fill="auto"/>
        <w:spacing w:after="1110" w:line="280" w:lineRule="exact"/>
        <w:ind w:left="6100"/>
        <w:jc w:val="left"/>
      </w:pPr>
      <w:r>
        <w:rPr>
          <w:rStyle w:val="21"/>
          <w:color w:val="000000"/>
        </w:rPr>
        <w:t>На правах рукописи</w:t>
      </w:r>
    </w:p>
    <w:p w14:paraId="56517A9B" w14:textId="77777777" w:rsidR="00434207" w:rsidRDefault="00434207" w:rsidP="00434207">
      <w:pPr>
        <w:pStyle w:val="33"/>
        <w:keepNext/>
        <w:keepLines/>
        <w:shd w:val="clear" w:color="auto" w:fill="auto"/>
        <w:spacing w:before="0" w:after="525" w:line="280" w:lineRule="exact"/>
        <w:ind w:left="60"/>
      </w:pPr>
      <w:bookmarkStart w:id="0" w:name="bookmark0"/>
      <w:r>
        <w:rPr>
          <w:rStyle w:val="32"/>
          <w:b/>
          <w:bCs/>
          <w:color w:val="000000"/>
        </w:rPr>
        <w:t>ФАЙРУЗОВА Анжела Расулевна</w:t>
      </w:r>
      <w:bookmarkEnd w:id="0"/>
    </w:p>
    <w:p w14:paraId="0ED97F40" w14:textId="77777777" w:rsidR="00434207" w:rsidRDefault="00434207" w:rsidP="00434207">
      <w:pPr>
        <w:pStyle w:val="30"/>
        <w:shd w:val="clear" w:color="auto" w:fill="auto"/>
        <w:spacing w:before="0" w:after="580"/>
        <w:ind w:left="60"/>
      </w:pPr>
      <w:r>
        <w:rPr>
          <w:rStyle w:val="3"/>
          <w:b/>
          <w:bCs/>
          <w:color w:val="000000"/>
        </w:rPr>
        <w:t>СОПОСТАВИТЕЛЬНЫЙ СТРУКТУРНО-СЕМАНТИЧЕСКИЙ</w:t>
      </w:r>
      <w:r>
        <w:rPr>
          <w:rStyle w:val="3"/>
          <w:b/>
          <w:bCs/>
          <w:color w:val="000000"/>
        </w:rPr>
        <w:br/>
        <w:t>АНАЛИЗ СРЕДСТВ ВЫРАЖЕНИЯ ОТРИЦАНИЯ</w:t>
      </w:r>
      <w:r>
        <w:rPr>
          <w:rStyle w:val="3"/>
          <w:b/>
          <w:bCs/>
          <w:color w:val="000000"/>
        </w:rPr>
        <w:br/>
        <w:t>В АНГЛИЙСКОМ И РУССКОМ ЯЗЫКАХ</w:t>
      </w:r>
    </w:p>
    <w:p w14:paraId="48F38627" w14:textId="77777777" w:rsidR="00434207" w:rsidRDefault="00434207" w:rsidP="00434207">
      <w:pPr>
        <w:pStyle w:val="210"/>
        <w:shd w:val="clear" w:color="auto" w:fill="auto"/>
        <w:spacing w:after="150" w:line="280" w:lineRule="exact"/>
        <w:jc w:val="left"/>
      </w:pPr>
      <w:r>
        <w:rPr>
          <w:rStyle w:val="21"/>
          <w:color w:val="000000"/>
        </w:rPr>
        <w:t>Специальность 10.02.20 - сравнительно-историческое, типологическое и</w:t>
      </w:r>
    </w:p>
    <w:p w14:paraId="416E6015" w14:textId="77777777" w:rsidR="00434207" w:rsidRDefault="00434207" w:rsidP="00434207">
      <w:pPr>
        <w:pStyle w:val="210"/>
        <w:shd w:val="clear" w:color="auto" w:fill="auto"/>
        <w:spacing w:after="468" w:line="280" w:lineRule="exact"/>
        <w:ind w:left="60"/>
      </w:pPr>
      <w:r>
        <w:rPr>
          <w:rStyle w:val="21"/>
          <w:color w:val="000000"/>
        </w:rPr>
        <w:t>сопоставительное языкознание</w:t>
      </w:r>
    </w:p>
    <w:p w14:paraId="4268DE45" w14:textId="77777777" w:rsidR="00434207" w:rsidRDefault="00434207" w:rsidP="00434207">
      <w:pPr>
        <w:pStyle w:val="210"/>
        <w:shd w:val="clear" w:color="auto" w:fill="auto"/>
        <w:spacing w:after="904" w:line="485" w:lineRule="exact"/>
        <w:ind w:left="6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  <w:t>на соискание ученой степени</w:t>
      </w:r>
      <w:r>
        <w:rPr>
          <w:rStyle w:val="21"/>
          <w:color w:val="000000"/>
        </w:rPr>
        <w:br/>
        <w:t>кандидата филологических наук</w:t>
      </w:r>
    </w:p>
    <w:p w14:paraId="4C23D256" w14:textId="77777777" w:rsidR="00434207" w:rsidRDefault="00434207" w:rsidP="00434207">
      <w:pPr>
        <w:pStyle w:val="210"/>
        <w:shd w:val="clear" w:color="auto" w:fill="auto"/>
        <w:spacing w:after="1540"/>
        <w:ind w:left="5500"/>
        <w:jc w:val="right"/>
      </w:pPr>
      <w:r>
        <w:rPr>
          <w:rStyle w:val="21"/>
          <w:color w:val="000000"/>
        </w:rPr>
        <w:t>Научный руководитель - доктор филологических наук, доцент Нехорошкова Т.П.</w:t>
      </w:r>
    </w:p>
    <w:p w14:paraId="1548FBD8" w14:textId="77777777" w:rsidR="00434207" w:rsidRDefault="00434207" w:rsidP="00434207">
      <w:pPr>
        <w:pStyle w:val="210"/>
        <w:shd w:val="clear" w:color="auto" w:fill="auto"/>
        <w:spacing w:after="0" w:line="280" w:lineRule="exact"/>
        <w:ind w:left="60"/>
        <w:sectPr w:rsidR="00434207">
          <w:headerReference w:type="even" r:id="rId7"/>
          <w:footerReference w:type="even" r:id="rId8"/>
          <w:footerReference w:type="default" r:id="rId9"/>
          <w:pgSz w:w="11900" w:h="16840"/>
          <w:pgMar w:top="1282" w:right="622" w:bottom="1215" w:left="2230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Уфа - 2015</w:t>
      </w:r>
    </w:p>
    <w:p w14:paraId="2BF255B4" w14:textId="77777777" w:rsidR="00434207" w:rsidRDefault="00434207" w:rsidP="00434207">
      <w:pPr>
        <w:pStyle w:val="34"/>
        <w:tabs>
          <w:tab w:val="right" w:leader="dot" w:pos="9041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ВВЕДЕНИЕ</w:t>
      </w:r>
      <w:r>
        <w:rPr>
          <w:rStyle w:val="35"/>
          <w:color w:val="000000"/>
        </w:rPr>
        <w:tab/>
        <w:t>4</w:t>
      </w:r>
    </w:p>
    <w:p w14:paraId="0ACE91C4" w14:textId="77777777" w:rsidR="00434207" w:rsidRDefault="00434207" w:rsidP="00434207">
      <w:pPr>
        <w:pStyle w:val="34"/>
        <w:tabs>
          <w:tab w:val="left" w:leader="dot" w:pos="8765"/>
        </w:tabs>
      </w:pPr>
      <w:hyperlink w:anchor="bookmark1" w:tooltip="Current Document" w:history="1">
        <w:r>
          <w:rPr>
            <w:rStyle w:val="35"/>
            <w:color w:val="000000"/>
          </w:rPr>
          <w:t>Глава I. ТЕОРЕТИЧЕСКИЕ ОСНОВЫ ИЗУЧЕНИЯ ОТРИЦАНИЯ</w:t>
        </w:r>
        <w:r>
          <w:rPr>
            <w:rStyle w:val="35"/>
            <w:color w:val="000000"/>
          </w:rPr>
          <w:tab/>
          <w:t>14</w:t>
        </w:r>
      </w:hyperlink>
    </w:p>
    <w:p w14:paraId="31BAC899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2" w:tooltip="Current Document" w:history="1">
        <w:r>
          <w:rPr>
            <w:rStyle w:val="35"/>
            <w:color w:val="000000"/>
          </w:rPr>
          <w:t>§ 1. Лингвистические исследования в области отрицания</w:t>
        </w:r>
        <w:r>
          <w:rPr>
            <w:rStyle w:val="35"/>
            <w:color w:val="000000"/>
          </w:rPr>
          <w:tab/>
          <w:t>14</w:t>
        </w:r>
      </w:hyperlink>
    </w:p>
    <w:p w14:paraId="65AE587E" w14:textId="77777777" w:rsidR="00434207" w:rsidRDefault="00434207" w:rsidP="00434207">
      <w:pPr>
        <w:pStyle w:val="34"/>
      </w:pPr>
      <w:r>
        <w:rPr>
          <w:rStyle w:val="35"/>
          <w:color w:val="000000"/>
        </w:rPr>
        <w:t>§ 2. Основные подходы к классификации отрицательных предложений.. .20</w:t>
      </w:r>
    </w:p>
    <w:p w14:paraId="6C85BB7A" w14:textId="77777777" w:rsidR="00434207" w:rsidRDefault="00434207" w:rsidP="00434207">
      <w:pPr>
        <w:pStyle w:val="34"/>
        <w:widowControl w:val="0"/>
        <w:numPr>
          <w:ilvl w:val="0"/>
          <w:numId w:val="24"/>
        </w:numPr>
        <w:tabs>
          <w:tab w:val="left" w:pos="1170"/>
        </w:tabs>
        <w:spacing w:after="0" w:line="480" w:lineRule="exact"/>
        <w:ind w:left="580"/>
        <w:jc w:val="both"/>
      </w:pPr>
      <w:r>
        <w:rPr>
          <w:rStyle w:val="35"/>
          <w:color w:val="000000"/>
        </w:rPr>
        <w:t>Традиционные классификации отрицательных предложений в</w:t>
      </w:r>
    </w:p>
    <w:p w14:paraId="61763220" w14:textId="77777777" w:rsidR="00434207" w:rsidRDefault="00434207" w:rsidP="00434207">
      <w:pPr>
        <w:pStyle w:val="34"/>
        <w:tabs>
          <w:tab w:val="right" w:leader="dot" w:pos="9041"/>
        </w:tabs>
      </w:pPr>
      <w:r>
        <w:rPr>
          <w:rStyle w:val="35"/>
          <w:color w:val="000000"/>
        </w:rPr>
        <w:t>отечественной лингвистике</w:t>
      </w:r>
      <w:r>
        <w:rPr>
          <w:rStyle w:val="35"/>
          <w:color w:val="000000"/>
        </w:rPr>
        <w:tab/>
        <w:t>20</w:t>
      </w:r>
    </w:p>
    <w:p w14:paraId="0E6DEABE" w14:textId="77777777" w:rsidR="00434207" w:rsidRDefault="00434207" w:rsidP="00434207">
      <w:pPr>
        <w:pStyle w:val="34"/>
        <w:widowControl w:val="0"/>
        <w:numPr>
          <w:ilvl w:val="0"/>
          <w:numId w:val="24"/>
        </w:numPr>
        <w:tabs>
          <w:tab w:val="left" w:pos="1170"/>
        </w:tabs>
        <w:spacing w:after="0" w:line="480" w:lineRule="exact"/>
        <w:ind w:left="580"/>
        <w:jc w:val="both"/>
      </w:pPr>
      <w:r>
        <w:rPr>
          <w:rStyle w:val="35"/>
          <w:color w:val="000000"/>
        </w:rPr>
        <w:t>Традиционные классификации отрицательных предложений в</w:t>
      </w:r>
    </w:p>
    <w:p w14:paraId="29D32AD4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6" w:tooltip="Current Document" w:history="1">
        <w:r>
          <w:rPr>
            <w:rStyle w:val="35"/>
            <w:color w:val="000000"/>
          </w:rPr>
          <w:t>зарубежной лингвистике</w:t>
        </w:r>
        <w:r>
          <w:rPr>
            <w:rStyle w:val="35"/>
            <w:color w:val="000000"/>
          </w:rPr>
          <w:tab/>
          <w:t>34</w:t>
        </w:r>
      </w:hyperlink>
    </w:p>
    <w:p w14:paraId="251EDC83" w14:textId="77777777" w:rsidR="00434207" w:rsidRDefault="00434207" w:rsidP="00434207">
      <w:pPr>
        <w:pStyle w:val="34"/>
        <w:widowControl w:val="0"/>
        <w:numPr>
          <w:ilvl w:val="0"/>
          <w:numId w:val="24"/>
        </w:numPr>
        <w:tabs>
          <w:tab w:val="left" w:pos="1174"/>
        </w:tabs>
        <w:spacing w:after="0" w:line="480" w:lineRule="exact"/>
        <w:ind w:left="580"/>
        <w:jc w:val="both"/>
      </w:pPr>
      <w:r>
        <w:rPr>
          <w:rStyle w:val="35"/>
          <w:color w:val="000000"/>
        </w:rPr>
        <w:t>Необобщенное и обобщенное отрицание в английском и русском</w:t>
      </w:r>
    </w:p>
    <w:p w14:paraId="2BFE4ABC" w14:textId="77777777" w:rsidR="00434207" w:rsidRDefault="00434207" w:rsidP="00434207">
      <w:pPr>
        <w:pStyle w:val="34"/>
        <w:tabs>
          <w:tab w:val="right" w:leader="dot" w:pos="9041"/>
        </w:tabs>
      </w:pPr>
      <w:r>
        <w:rPr>
          <w:rStyle w:val="35"/>
          <w:color w:val="000000"/>
        </w:rPr>
        <w:t>языках</w:t>
      </w:r>
      <w:r>
        <w:rPr>
          <w:rStyle w:val="35"/>
          <w:color w:val="000000"/>
        </w:rPr>
        <w:tab/>
        <w:t>44</w:t>
      </w:r>
    </w:p>
    <w:p w14:paraId="5585CA2A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9" w:tooltip="Current Document" w:history="1">
        <w:r>
          <w:rPr>
            <w:rStyle w:val="35"/>
            <w:color w:val="000000"/>
          </w:rPr>
          <w:t>ВЫВОДЫ ПО ГЛАВЕ 1</w:t>
        </w:r>
        <w:r>
          <w:rPr>
            <w:rStyle w:val="35"/>
            <w:color w:val="000000"/>
          </w:rPr>
          <w:tab/>
          <w:t>51</w:t>
        </w:r>
      </w:hyperlink>
    </w:p>
    <w:p w14:paraId="08A98C1F" w14:textId="77777777" w:rsidR="00434207" w:rsidRDefault="00434207" w:rsidP="00434207">
      <w:pPr>
        <w:pStyle w:val="34"/>
      </w:pPr>
      <w:r>
        <w:rPr>
          <w:rStyle w:val="35"/>
          <w:color w:val="000000"/>
        </w:rPr>
        <w:t>ГЛАВА II. СТРУКТУРНО-СЕМАНТИЧЕСКИЙ АНАЛИЗ НЕОБОБЩЕННОГО ОТРИЦАНИЯ В СОВРЕМЕННОМ АНГЛИЙСКОМ</w:t>
      </w:r>
    </w:p>
    <w:p w14:paraId="6B713316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8" w:tooltip="Current Document" w:history="1">
        <w:r>
          <w:rPr>
            <w:rStyle w:val="35"/>
            <w:color w:val="000000"/>
          </w:rPr>
          <w:t>И РУССКОМ ЯЗЫКАХ</w:t>
        </w:r>
        <w:r>
          <w:rPr>
            <w:rStyle w:val="35"/>
            <w:color w:val="000000"/>
          </w:rPr>
          <w:tab/>
          <w:t>53</w:t>
        </w:r>
      </w:hyperlink>
    </w:p>
    <w:p w14:paraId="70C1CB2D" w14:textId="77777777" w:rsidR="00434207" w:rsidRDefault="00434207" w:rsidP="00434207">
      <w:pPr>
        <w:pStyle w:val="34"/>
        <w:tabs>
          <w:tab w:val="left" w:pos="384"/>
        </w:tabs>
      </w:pPr>
      <w:r>
        <w:rPr>
          <w:rStyle w:val="35"/>
          <w:color w:val="000000"/>
        </w:rPr>
        <w:t>§</w:t>
      </w:r>
      <w:r>
        <w:rPr>
          <w:rStyle w:val="35"/>
          <w:color w:val="000000"/>
        </w:rPr>
        <w:tab/>
        <w:t>1. Конструкции с приглагольным и приименным отрицанием в</w:t>
      </w:r>
    </w:p>
    <w:p w14:paraId="559C64AC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11" w:tooltip="Current Document" w:history="1">
        <w:r>
          <w:rPr>
            <w:rStyle w:val="35"/>
            <w:color w:val="000000"/>
          </w:rPr>
          <w:t>английском языке</w:t>
        </w:r>
        <w:r>
          <w:rPr>
            <w:rStyle w:val="35"/>
            <w:color w:val="000000"/>
          </w:rPr>
          <w:tab/>
          <w:t xml:space="preserve">  53</w:t>
        </w:r>
      </w:hyperlink>
    </w:p>
    <w:p w14:paraId="6BCF06E7" w14:textId="77777777" w:rsidR="00434207" w:rsidRDefault="00434207" w:rsidP="00434207">
      <w:pPr>
        <w:pStyle w:val="34"/>
      </w:pPr>
      <w:r>
        <w:rPr>
          <w:rStyle w:val="35"/>
          <w:color w:val="000000"/>
        </w:rPr>
        <w:t>§ 2. Конструкции с приглагольным и приименным отрицанием в русском</w:t>
      </w:r>
    </w:p>
    <w:p w14:paraId="0048C5C1" w14:textId="77777777" w:rsidR="00434207" w:rsidRDefault="00434207" w:rsidP="00434207">
      <w:pPr>
        <w:pStyle w:val="34"/>
        <w:tabs>
          <w:tab w:val="right" w:leader="dot" w:pos="9041"/>
        </w:tabs>
      </w:pPr>
      <w:r>
        <w:rPr>
          <w:rStyle w:val="35"/>
          <w:color w:val="000000"/>
        </w:rPr>
        <w:t>языке</w:t>
      </w:r>
      <w:r>
        <w:rPr>
          <w:rStyle w:val="35"/>
          <w:color w:val="000000"/>
        </w:rPr>
        <w:tab/>
        <w:t>77</w:t>
      </w:r>
    </w:p>
    <w:p w14:paraId="02D73E15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20" w:tooltip="Current Document" w:history="1">
        <w:r>
          <w:rPr>
            <w:rStyle w:val="35"/>
            <w:color w:val="000000"/>
          </w:rPr>
          <w:t>ВЫВОДЫ ПО ГЛАВЕ II</w:t>
        </w:r>
        <w:r>
          <w:rPr>
            <w:rStyle w:val="35"/>
            <w:color w:val="000000"/>
          </w:rPr>
          <w:tab/>
          <w:t>95</w:t>
        </w:r>
      </w:hyperlink>
    </w:p>
    <w:p w14:paraId="16754B41" w14:textId="77777777" w:rsidR="00434207" w:rsidRDefault="00434207" w:rsidP="00434207">
      <w:pPr>
        <w:pStyle w:val="34"/>
      </w:pPr>
      <w:r>
        <w:rPr>
          <w:rStyle w:val="35"/>
          <w:color w:val="000000"/>
        </w:rPr>
        <w:t>Глава III. СТРУКТУРНО-СЕМАНТИЧЕСКИЙ АНАЛИЗ ОБОБЩЕННОГО ОТРИЦАНИЯ В СОВРЕМЕННОМ АНГЛИЙСКОМ И РУССКОМ</w:t>
      </w:r>
    </w:p>
    <w:p w14:paraId="2CD4B121" w14:textId="77777777" w:rsidR="00434207" w:rsidRDefault="00434207" w:rsidP="00434207">
      <w:pPr>
        <w:pStyle w:val="34"/>
        <w:tabs>
          <w:tab w:val="right" w:leader="dot" w:pos="9041"/>
        </w:tabs>
      </w:pPr>
      <w:hyperlink w:anchor="bookmark19" w:tooltip="Current Document" w:history="1">
        <w:r>
          <w:rPr>
            <w:rStyle w:val="35"/>
            <w:color w:val="000000"/>
          </w:rPr>
          <w:t>ЯЗЫКАХ</w:t>
        </w:r>
        <w:r>
          <w:rPr>
            <w:rStyle w:val="35"/>
            <w:color w:val="000000"/>
          </w:rPr>
          <w:tab/>
          <w:t>98</w:t>
        </w:r>
      </w:hyperlink>
    </w:p>
    <w:p w14:paraId="769BFF3C" w14:textId="77777777" w:rsidR="00434207" w:rsidRDefault="00434207" w:rsidP="00434207">
      <w:pPr>
        <w:pStyle w:val="34"/>
      </w:pPr>
      <w:r>
        <w:rPr>
          <w:rStyle w:val="35"/>
          <w:color w:val="000000"/>
        </w:rPr>
        <w:t>§ 1. Конструкции с отрицательными и не-ассертивными обобщающими</w:t>
      </w:r>
    </w:p>
    <w:p w14:paraId="599BAADA" w14:textId="77777777" w:rsidR="00434207" w:rsidRDefault="00434207" w:rsidP="00434207">
      <w:pPr>
        <w:pStyle w:val="34"/>
        <w:tabs>
          <w:tab w:val="right" w:leader="dot" w:pos="9041"/>
        </w:tabs>
      </w:pPr>
      <w:r>
        <w:rPr>
          <w:rStyle w:val="35"/>
          <w:color w:val="000000"/>
        </w:rPr>
        <w:t>членами в английском языке</w:t>
      </w:r>
      <w:r>
        <w:rPr>
          <w:rStyle w:val="35"/>
          <w:color w:val="000000"/>
        </w:rPr>
        <w:tab/>
        <w:t>98</w:t>
      </w:r>
    </w:p>
    <w:p w14:paraId="43F64DC7" w14:textId="77777777" w:rsidR="00434207" w:rsidRDefault="00434207" w:rsidP="00434207">
      <w:pPr>
        <w:pStyle w:val="34"/>
      </w:pPr>
      <w:r>
        <w:rPr>
          <w:rStyle w:val="35"/>
          <w:color w:val="000000"/>
        </w:rPr>
        <w:t>§ 2. Конструкции с отрицательными и не-ассертивными обобщающими</w:t>
      </w:r>
    </w:p>
    <w:p w14:paraId="5B12AA4D" w14:textId="77777777" w:rsidR="00434207" w:rsidRDefault="00434207" w:rsidP="00434207">
      <w:pPr>
        <w:pStyle w:val="34"/>
        <w:tabs>
          <w:tab w:val="right" w:leader="dot" w:pos="9041"/>
        </w:tabs>
      </w:pPr>
      <w:r>
        <w:rPr>
          <w:rStyle w:val="35"/>
          <w:color w:val="000000"/>
        </w:rPr>
        <w:t>членами в русском языке</w:t>
      </w:r>
      <w:r>
        <w:rPr>
          <w:rStyle w:val="35"/>
          <w:color w:val="000000"/>
        </w:rPr>
        <w:tab/>
        <w:t>122</w:t>
      </w:r>
    </w:p>
    <w:p w14:paraId="761C3219" w14:textId="77777777" w:rsidR="00434207" w:rsidRDefault="00434207" w:rsidP="00434207">
      <w:pPr>
        <w:pStyle w:val="34"/>
        <w:tabs>
          <w:tab w:val="right" w:leader="dot" w:pos="9041"/>
        </w:tabs>
        <w:sectPr w:rsidR="00434207">
          <w:pgSz w:w="11900" w:h="16840"/>
          <w:pgMar w:top="2103" w:right="732" w:bottom="1354" w:left="1894" w:header="0" w:footer="3" w:gutter="0"/>
          <w:cols w:space="720"/>
          <w:noEndnote/>
          <w:docGrid w:linePitch="360"/>
        </w:sectPr>
      </w:pPr>
      <w:hyperlink w:anchor="bookmark23" w:tooltip="Current Document" w:history="1">
        <w:r>
          <w:rPr>
            <w:rStyle w:val="35"/>
            <w:color w:val="000000"/>
          </w:rPr>
          <w:t>§ 3. Сопоставительный анализ обобщенного отрицания в английском и русском языках</w:t>
        </w:r>
        <w:r>
          <w:rPr>
            <w:rStyle w:val="35"/>
            <w:color w:val="000000"/>
          </w:rPr>
          <w:tab/>
          <w:t>133</w:t>
        </w:r>
      </w:hyperlink>
    </w:p>
    <w:p w14:paraId="32BAD907" w14:textId="77777777" w:rsidR="00434207" w:rsidRDefault="00434207" w:rsidP="00434207">
      <w:pPr>
        <w:pStyle w:val="34"/>
        <w:tabs>
          <w:tab w:val="right" w:leader="dot" w:pos="9042"/>
        </w:tabs>
      </w:pPr>
      <w:hyperlink w:anchor="bookmark26" w:tooltip="Current Document" w:history="1">
        <w:r>
          <w:rPr>
            <w:rStyle w:val="35"/>
            <w:color w:val="000000"/>
          </w:rPr>
          <w:t>ВЫВОДЫ ПО ГЛАВЕ III</w:t>
        </w:r>
        <w:r>
          <w:rPr>
            <w:rStyle w:val="35"/>
            <w:color w:val="000000"/>
          </w:rPr>
          <w:tab/>
          <w:t>139</w:t>
        </w:r>
      </w:hyperlink>
    </w:p>
    <w:p w14:paraId="4524A368" w14:textId="77777777" w:rsidR="00434207" w:rsidRDefault="00434207" w:rsidP="00434207">
      <w:pPr>
        <w:pStyle w:val="34"/>
        <w:tabs>
          <w:tab w:val="right" w:leader="dot" w:pos="9042"/>
        </w:tabs>
      </w:pPr>
      <w:hyperlink w:anchor="bookmark27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142</w:t>
        </w:r>
      </w:hyperlink>
    </w:p>
    <w:p w14:paraId="299D99A9" w14:textId="77777777" w:rsidR="00434207" w:rsidRDefault="00434207" w:rsidP="00434207">
      <w:pPr>
        <w:pStyle w:val="34"/>
        <w:tabs>
          <w:tab w:val="right" w:leader="dot" w:pos="9042"/>
        </w:tabs>
      </w:pPr>
      <w:hyperlink w:anchor="bookmark28" w:tooltip="Current Document" w:history="1">
        <w:r>
          <w:rPr>
            <w:rStyle w:val="35"/>
            <w:color w:val="000000"/>
          </w:rPr>
          <w:t>БИБЛИОГРАФИЯ</w:t>
        </w:r>
        <w:r>
          <w:rPr>
            <w:rStyle w:val="35"/>
            <w:color w:val="000000"/>
          </w:rPr>
          <w:tab/>
          <w:t>147</w:t>
        </w:r>
      </w:hyperlink>
    </w:p>
    <w:p w14:paraId="1E1CA9CF" w14:textId="77777777" w:rsidR="00434207" w:rsidRDefault="00434207" w:rsidP="00434207">
      <w:pPr>
        <w:pStyle w:val="34"/>
      </w:pPr>
      <w:r>
        <w:rPr>
          <w:rStyle w:val="35"/>
          <w:color w:val="000000"/>
        </w:rPr>
        <w:t>СПИСОК ИСТОЧНИКОВ ИЛЛЮСТРАТИВНОГО МАТЕРИАЛА НА</w:t>
      </w:r>
    </w:p>
    <w:p w14:paraId="4CAB33A1" w14:textId="77777777" w:rsidR="00434207" w:rsidRDefault="00434207" w:rsidP="00434207">
      <w:pPr>
        <w:pStyle w:val="34"/>
        <w:tabs>
          <w:tab w:val="right" w:leader="dot" w:pos="9042"/>
        </w:tabs>
      </w:pPr>
      <w:r>
        <w:rPr>
          <w:rStyle w:val="35"/>
          <w:color w:val="000000"/>
        </w:rPr>
        <w:t>АНГЛИЙСКОМ ЯЗЫКЕ</w:t>
      </w:r>
      <w:r>
        <w:rPr>
          <w:rStyle w:val="35"/>
          <w:color w:val="000000"/>
        </w:rPr>
        <w:tab/>
        <w:t>166</w:t>
      </w:r>
    </w:p>
    <w:p w14:paraId="5EE881A0" w14:textId="77777777" w:rsidR="00434207" w:rsidRDefault="00434207" w:rsidP="00434207">
      <w:pPr>
        <w:pStyle w:val="34"/>
        <w:tabs>
          <w:tab w:val="right" w:leader="dot" w:pos="9042"/>
        </w:tabs>
        <w:sectPr w:rsidR="00434207">
          <w:pgSz w:w="11900" w:h="16840"/>
          <w:pgMar w:top="1157" w:right="789" w:bottom="1157" w:left="1952" w:header="0" w:footer="3" w:gutter="0"/>
          <w:cols w:space="720"/>
          <w:noEndnote/>
          <w:docGrid w:linePitch="360"/>
        </w:sectPr>
      </w:pPr>
      <w:r>
        <w:rPr>
          <w:rStyle w:val="35"/>
          <w:color w:val="000000"/>
        </w:rPr>
        <w:t>СПИСОК ИСТОЧНИКОВ ИЛЛЮСТРАТИВНОГО МАТЕРИАЛА НА РУССКОМ ЯЗЫКЕ</w:t>
      </w:r>
      <w:r>
        <w:rPr>
          <w:rStyle w:val="35"/>
          <w:color w:val="000000"/>
        </w:rPr>
        <w:tab/>
        <w:t>167</w:t>
      </w:r>
    </w:p>
    <w:p w14:paraId="0070702D" w14:textId="37BB9BE0" w:rsidR="008F518D" w:rsidRDefault="00434207" w:rsidP="00434207">
      <w:r>
        <w:lastRenderedPageBreak/>
        <w:fldChar w:fldCharType="end"/>
      </w:r>
    </w:p>
    <w:p w14:paraId="3357AC0E" w14:textId="2E644C2D" w:rsidR="00434207" w:rsidRDefault="00434207" w:rsidP="00434207"/>
    <w:p w14:paraId="58CB1D08" w14:textId="1B5DF1E3" w:rsidR="00434207" w:rsidRDefault="00434207" w:rsidP="00434207"/>
    <w:p w14:paraId="6070DCD5" w14:textId="77777777" w:rsidR="00434207" w:rsidRDefault="00434207" w:rsidP="00434207">
      <w:pPr>
        <w:pStyle w:val="3210"/>
        <w:keepNext/>
        <w:keepLines/>
        <w:shd w:val="clear" w:color="auto" w:fill="auto"/>
        <w:spacing w:before="0" w:after="472" w:line="280" w:lineRule="exact"/>
        <w:ind w:left="3880" w:firstLine="0"/>
      </w:pPr>
      <w:bookmarkStart w:id="1" w:name="bookmark27"/>
      <w:r>
        <w:rPr>
          <w:rStyle w:val="320"/>
          <w:color w:val="000000"/>
        </w:rPr>
        <w:t>ЗАКЛЮЧЕНИЕ</w:t>
      </w:r>
      <w:bookmarkEnd w:id="1"/>
    </w:p>
    <w:p w14:paraId="64D4B9E8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Проведенное сопоставительное исследование систем отрицания в таких разноструктурных языках, как английский и русский, доказало ограниченность возможности применения традиционного формального принципа (отнесенность показателя отрицания к сказуемому/не- сказуемому предложения), положенного в основу выделения семантически «общего» и «частного» отрицания. При ближайшем рассмотрении оказывается, что в этой оппозиции только частноотрицательные предложения всегда понимаются строго однозначно. Действительно, отрицательная частица при любом другом члене предложения, кроме сказуемого, не изменяет общий утвердительный смысл высказывания и направлена именно на тот его элемент, в препозиции к которому она находится. Что касается другого традиционного положения, согласно которому негация при сказуемом делает все высказывание отрицательным, то, как свидетельствуют многие исследования, оно нуждается в уточнении.</w:t>
      </w:r>
    </w:p>
    <w:p w14:paraId="4FECF403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Сравнительный анализ показал, что в обоих языках симметрия формы и содержания (приглагольное отрицание - «общее» отрицание) достигается далеко не во всех случаях. Доминирующее в обоих языках приглагольное отрицание может и не изменять общий утвердительный смысл высказывания. Анализ показал, что приглагольная структурная разновидность отрицания охватывает довольно широкий диапазон семантических вариаций: от отрицания, действительно направленного на глагол-сказуемое, через стадию его смещения на заглагольный элемент до полного вывода сказуемого из сферы действия отрицания (смещение на подлежащее, подъем отрицания). Так, при сохранении </w:t>
      </w:r>
      <w:r>
        <w:rPr>
          <w:rStyle w:val="21"/>
          <w:color w:val="000000"/>
        </w:rPr>
        <w:lastRenderedPageBreak/>
        <w:t>формального показателя отрицания в приглагольной позиции общий утвердительный смысл высказывания сохраняется, и по содержанию оно оказывается эквивалентным частному отрицанию. Количественные данные свидетельствуют о том, что подобное явление не редкость в обоих языках,</w:t>
      </w:r>
    </w:p>
    <w:p w14:paraId="505A0529" w14:textId="77777777" w:rsidR="00434207" w:rsidRDefault="00434207" w:rsidP="00434207">
      <w:pPr>
        <w:pStyle w:val="210"/>
        <w:shd w:val="clear" w:color="auto" w:fill="auto"/>
        <w:spacing w:after="0"/>
        <w:jc w:val="left"/>
      </w:pPr>
      <w:r>
        <w:rPr>
          <w:rStyle w:val="21"/>
          <w:color w:val="000000"/>
        </w:rPr>
        <w:t>но особенно оно характерно для английского языка.</w:t>
      </w:r>
    </w:p>
    <w:p w14:paraId="2884C937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Кроме того, в английском языке в отличие от русского имеется такая структурная разновидность отрицания, которая, будучи «общеотрицательной» по содержанию, не имеет показателя отрицания при сказуемом </w:t>
      </w:r>
      <w:r>
        <w:rPr>
          <w:rStyle w:val="28"/>
          <w:color w:val="000000"/>
        </w:rPr>
        <w:t>(I see nobody).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русском языке в предложениях подобного рода всегда имеется показатель отрицания при сказуемом (Я </w:t>
      </w:r>
      <w:r>
        <w:rPr>
          <w:rStyle w:val="28"/>
          <w:color w:val="000000"/>
        </w:rPr>
        <w:t>никого не вижу),</w:t>
      </w:r>
      <w:r>
        <w:rPr>
          <w:rStyle w:val="21"/>
          <w:color w:val="000000"/>
        </w:rPr>
        <w:t xml:space="preserve"> чем, очевидно, объясняется тот факт, что в традиционной классификации им не нашлось особого места. Между тем именно данная структурная разновидность отрицания, имея специальные средства своего выражения, определяет принадлежность языка к моно- или полинегативному типу. Анализ семантики языковых форм, участвующих в ее оформлении, позволяет утверждать, что и в содержательном отношении данная разновидность отрицания четко противостоит всем прочим его типам</w:t>
      </w:r>
      <w:r>
        <w:rPr>
          <w:rStyle w:val="28"/>
          <w:color w:val="000000"/>
        </w:rPr>
        <w:t>.</w:t>
      </w:r>
    </w:p>
    <w:p w14:paraId="09281C39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Так, в результате проведенного сопоставительного исследования систем отрицания в двух разноструктурных языках - английского и русского - было выявлено наличие в них особых устойчивых семантических разновидностей негации: необобщенного и обобщенного отрицания</w:t>
      </w:r>
      <w:r>
        <w:rPr>
          <w:rStyle w:val="28"/>
          <w:color w:val="000000"/>
        </w:rPr>
        <w:t>,</w:t>
      </w:r>
      <w:r>
        <w:rPr>
          <w:rStyle w:val="21"/>
          <w:color w:val="000000"/>
        </w:rPr>
        <w:t xml:space="preserve"> - имеющих специфические средства своего выражения.</w:t>
      </w:r>
    </w:p>
    <w:p w14:paraId="62CF76FE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Поскольку между так называемым «частным» и «общим» отрицанием не </w:t>
      </w:r>
      <w:r>
        <w:rPr>
          <w:rStyle w:val="21"/>
          <w:color w:val="000000"/>
        </w:rPr>
        <w:lastRenderedPageBreak/>
        <w:t>существует четких семантических границ, они объединены в одну группу необобщенного отрицания, внутри которой выделяются приименная и приглагольная структурные разновидности. Подсчеты показали, что в русском языке приименное отрицание используется чаще, чем в английском, что, очевидно, обусловлено более свободным порядком слов в русском языке. В английском же языке приглагольное отрицание часто используется даже в тех случаях, когда уместнее было бы употребить приименной тип отрицания. Семантическая близость приглагольного и приименного отрицания в определенных ситуациях поддерживается и на формальном уровне. Речь идет о составных именных сказуемых: оформляя сказуемое, отрицательная частица оказывается в непосредственной близости к фактически отрицаемому компоненту, создавая своеобразный «компромиссный» структурно-семантический вариант необобщенного отрицания.</w:t>
      </w:r>
    </w:p>
    <w:p w14:paraId="4C14E8A2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Отличительной чертой обобщенного отрицания является максимальный объем отрицаемых актантов действия - виртуальных или представленных в конкретной ситуации общения (</w:t>
      </w:r>
      <w:r>
        <w:rPr>
          <w:rStyle w:val="28"/>
          <w:color w:val="000000"/>
        </w:rPr>
        <w:t>никто/ничто из присутствующих).</w:t>
      </w:r>
    </w:p>
    <w:p w14:paraId="592D5A14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В обоих языках предложения с обобщенным отрицанием включает в свой состав собственно отрицательные и не-ассертивные местоимения обобщающего характера. В английском языке их основу составляют именные компоненты, маркирующие ту семантическую область, на которую распространяется отрицание </w:t>
      </w:r>
      <w:r>
        <w:rPr>
          <w:rStyle w:val="28"/>
          <w:color w:val="000000"/>
        </w:rPr>
        <w:t>(thing, body, one)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сочетании с </w:t>
      </w:r>
      <w:r>
        <w:rPr>
          <w:rStyle w:val="28"/>
          <w:color w:val="000000"/>
        </w:rPr>
        <w:t>no-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any</w:t>
      </w:r>
      <w:r>
        <w:rPr>
          <w:rStyle w:val="21"/>
          <w:color w:val="000000"/>
        </w:rPr>
        <w:t xml:space="preserve">-элементами. Отличаясь широкой семантикой, лексема </w:t>
      </w:r>
      <w:r>
        <w:rPr>
          <w:rStyle w:val="28"/>
          <w:color w:val="000000"/>
        </w:rPr>
        <w:t>thing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способна соотноситься с практически неограниченным кругом денотатов, находящихся как в сфере ее непосредственного сигнификативно</w:t>
      </w:r>
      <w:r>
        <w:rPr>
          <w:rStyle w:val="21"/>
          <w:color w:val="000000"/>
        </w:rPr>
        <w:softHyphen/>
        <w:t xml:space="preserve">категориального значения (вещь, предмет), так и значительно шире, за пределами данной сферы. В лексеме </w:t>
      </w:r>
      <w:r>
        <w:rPr>
          <w:rStyle w:val="28"/>
          <w:color w:val="000000"/>
        </w:rPr>
        <w:t>body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концептуализация объекта </w:t>
      </w:r>
      <w:r>
        <w:rPr>
          <w:rStyle w:val="21"/>
          <w:color w:val="000000"/>
        </w:rPr>
        <w:lastRenderedPageBreak/>
        <w:t xml:space="preserve">осуществляется по одному достаточно широкому признаку, а именно «одушевленность» предмета. Сужая значение </w:t>
      </w:r>
      <w:r>
        <w:rPr>
          <w:rStyle w:val="28"/>
          <w:color w:val="000000"/>
        </w:rPr>
        <w:t>thing, body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обозначает минимально параметризованную субстанцию - лицо. Ядром категориального пространства </w:t>
      </w:r>
      <w:r>
        <w:rPr>
          <w:rStyle w:val="28"/>
          <w:color w:val="000000"/>
        </w:rPr>
        <w:t>one</w:t>
      </w:r>
      <w:r w:rsidRPr="0043420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является количественное значение и вычленение индивида из множества ему подобных в окружающем мире.</w:t>
      </w:r>
    </w:p>
    <w:p w14:paraId="3BE59931" w14:textId="77777777" w:rsidR="00434207" w:rsidRDefault="00434207" w:rsidP="00434207">
      <w:pPr>
        <w:pStyle w:val="210"/>
        <w:shd w:val="clear" w:color="auto" w:fill="auto"/>
        <w:tabs>
          <w:tab w:val="left" w:pos="7478"/>
        </w:tabs>
        <w:spacing w:after="0"/>
        <w:ind w:firstLine="740"/>
        <w:jc w:val="both"/>
      </w:pPr>
      <w:r>
        <w:rPr>
          <w:rStyle w:val="21"/>
          <w:color w:val="000000"/>
        </w:rPr>
        <w:t>В отличие от английского языка в русском система обобщенного отрицания строится на основе не широкозначных существительных, а вопросительно-относительно-неопределенных</w:t>
      </w:r>
      <w:r>
        <w:rPr>
          <w:rStyle w:val="21"/>
          <w:color w:val="000000"/>
        </w:rPr>
        <w:tab/>
        <w:t>местоимений</w:t>
      </w:r>
    </w:p>
    <w:p w14:paraId="7232C42A" w14:textId="77777777" w:rsidR="00434207" w:rsidRDefault="00434207" w:rsidP="00434207">
      <w:pPr>
        <w:pStyle w:val="210"/>
        <w:shd w:val="clear" w:color="auto" w:fill="auto"/>
        <w:spacing w:after="0"/>
        <w:jc w:val="both"/>
      </w:pPr>
      <w:r>
        <w:rPr>
          <w:rStyle w:val="28"/>
          <w:color w:val="000000"/>
        </w:rPr>
        <w:t>кто/что/какой</w:t>
      </w:r>
      <w:r>
        <w:rPr>
          <w:rStyle w:val="21"/>
          <w:color w:val="000000"/>
        </w:rPr>
        <w:t xml:space="preserve"> и числительного </w:t>
      </w:r>
      <w:r>
        <w:rPr>
          <w:rStyle w:val="28"/>
          <w:color w:val="000000"/>
        </w:rPr>
        <w:t>один.</w:t>
      </w:r>
      <w:r>
        <w:rPr>
          <w:rStyle w:val="21"/>
          <w:color w:val="000000"/>
        </w:rPr>
        <w:t xml:space="preserve"> Именно эти элементы придают обобщающий характер отрицательным или не-ассертивным местоимениям на </w:t>
      </w:r>
      <w:r>
        <w:rPr>
          <w:rStyle w:val="28"/>
          <w:color w:val="000000"/>
        </w:rPr>
        <w:t>бы то ни было/-либо.</w:t>
      </w:r>
    </w:p>
    <w:p w14:paraId="209C7785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На основе анализа характера оформления </w:t>
      </w:r>
      <w:r>
        <w:rPr>
          <w:rStyle w:val="21"/>
          <w:color w:val="000000"/>
          <w:lang w:val="uk-UA" w:eastAsia="uk-UA"/>
        </w:rPr>
        <w:t xml:space="preserve">ядерного </w:t>
      </w:r>
      <w:r>
        <w:rPr>
          <w:rStyle w:val="21"/>
          <w:color w:val="000000"/>
        </w:rPr>
        <w:t>члена предложения - глагола-сказуемого, с одной стороны, а также количества и характера обобщающих членов (негативный/не-ассертивный) - с другой, были выделены общие и специфические структурные модели обобщенного отрицания в двух языках.</w:t>
      </w:r>
    </w:p>
    <w:p w14:paraId="2DA1F153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Первая - доминантная в английском языке и отсутствующая в русском - структурная модель обобщенного отрицания предполагает сочетание положительно оформленного сказуемого с одним отрицательным и последующими не-ассертивными формами обобщающего характера. Вторая структурная модель обобщенного отрицания предполагает наличие отрицательно оформленного сказуемого в сочетании с не-ассертивными местоимениями обобщающего характера. Она присутствует в обоих языках с той </w:t>
      </w:r>
      <w:r>
        <w:rPr>
          <w:rStyle w:val="21"/>
          <w:color w:val="000000"/>
        </w:rPr>
        <w:lastRenderedPageBreak/>
        <w:t>разницей, что в английском языке, количественно уступая первой, довольно часто представлена, в русском же языке составляет очевидную языковую периферию. В нем (вполне в соответствии с названием всей системы отрицания) абсолютно доминирует структурная модель, не допускаемая классическим английским языком, - отрицательно оформленное сказуемое в сочетании с неограниченным количеством отрицательных обобщающих членов (отрицательных местоимений).</w:t>
      </w:r>
    </w:p>
    <w:p w14:paraId="38B3C5FC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Так, оказалось, что структурные разновидности обобщенного отрицания в мононегативном английском языке более разнообразны по сравнению с полинегативным русским. Глагол-сказуемое в русском языке может быть оформлен только негативно, в то время как в английском - как негативно, так и позитивно, причем последний вариант является предпочтительным.</w:t>
      </w:r>
    </w:p>
    <w:p w14:paraId="63BF1D4D" w14:textId="77777777" w:rsidR="00434207" w:rsidRDefault="00434207" w:rsidP="00434207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При всей очевидной противопоставленности языков моно- и полинегативного строя в ходе проведенного исследования была выявлена некая зона взаимопереходности - это плеонастическое отрицание в английском языке и конструкции </w:t>
      </w:r>
      <w:r>
        <w:rPr>
          <w:rStyle w:val="28"/>
          <w:color w:val="000000"/>
        </w:rPr>
        <w:t>«не-</w:t>
      </w:r>
      <w:r>
        <w:rPr>
          <w:rStyle w:val="21"/>
          <w:color w:val="000000"/>
        </w:rPr>
        <w:t xml:space="preserve"> ОМ + инфинитив» в русском.</w:t>
      </w:r>
    </w:p>
    <w:p w14:paraId="7E155BDD" w14:textId="35D3FB20" w:rsidR="00434207" w:rsidRPr="00434207" w:rsidRDefault="00434207" w:rsidP="00434207">
      <w:r>
        <w:rPr>
          <w:rStyle w:val="21"/>
          <w:color w:val="000000"/>
        </w:rPr>
        <w:t>Наличие подобных элементов, противоречащих общей тенденции, не позволяет абсолютизировать имеющиеся структурные различия и заставляют говорить о преимущественно мононегативном характере английского языка и преимущественно полинегативном характере русского языка. Как свидетельствуют исторические данные многих языков, именно подобного рода участки системы со временем становятся «стартовыми» площадками для дальнейшего развития языка.</w:t>
      </w:r>
    </w:p>
    <w:sectPr w:rsidR="00434207" w:rsidRPr="00434207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54A5" w14:textId="77777777" w:rsidR="00F12290" w:rsidRDefault="00F12290">
      <w:pPr>
        <w:spacing w:after="0" w:line="240" w:lineRule="auto"/>
      </w:pPr>
      <w:r>
        <w:separator/>
      </w:r>
    </w:p>
  </w:endnote>
  <w:endnote w:type="continuationSeparator" w:id="0">
    <w:p w14:paraId="7428D17C" w14:textId="77777777" w:rsidR="00F12290" w:rsidRDefault="00F1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9097" w14:textId="49B505BC" w:rsidR="00434207" w:rsidRDefault="004342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2EA30D" wp14:editId="2930A19E">
              <wp:simplePos x="0" y="0"/>
              <wp:positionH relativeFrom="page">
                <wp:posOffset>4101465</wp:posOffset>
              </wp:positionH>
              <wp:positionV relativeFrom="page">
                <wp:posOffset>9930765</wp:posOffset>
              </wp:positionV>
              <wp:extent cx="70485" cy="160655"/>
              <wp:effectExtent l="0" t="0" r="0" b="0"/>
              <wp:wrapNone/>
              <wp:docPr id="66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5CA03" w14:textId="77777777" w:rsidR="00434207" w:rsidRDefault="0043420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EA30D" id="_x0000_t202" coordsize="21600,21600" o:spt="202" path="m,l,21600r21600,l21600,xe">
              <v:stroke joinstyle="miter"/>
              <v:path gradientshapeok="t" o:connecttype="rect"/>
            </v:shapetype>
            <v:shape id="Надпись 66" o:spid="_x0000_s1027" type="#_x0000_t202" style="position:absolute;margin-left:322.95pt;margin-top:781.9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" filled="f" stroked="f">
              <v:textbox style="mso-fit-shape-to-text:t" inset="0,0,0,0">
                <w:txbxContent>
                  <w:p w14:paraId="6695CA03" w14:textId="77777777" w:rsidR="00434207" w:rsidRDefault="0043420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E370" w14:textId="2548EFC0" w:rsidR="00434207" w:rsidRDefault="004342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7320DC0" wp14:editId="247E888B">
              <wp:simplePos x="0" y="0"/>
              <wp:positionH relativeFrom="page">
                <wp:posOffset>4081145</wp:posOffset>
              </wp:positionH>
              <wp:positionV relativeFrom="page">
                <wp:posOffset>9931400</wp:posOffset>
              </wp:positionV>
              <wp:extent cx="70485" cy="160655"/>
              <wp:effectExtent l="4445" t="0" r="1270" b="4445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3B2C1" w14:textId="77777777" w:rsidR="00434207" w:rsidRDefault="0043420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20DC0"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28" type="#_x0000_t202" style="position:absolute;margin-left:321.35pt;margin-top:782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" filled="f" stroked="f">
              <v:textbox style="mso-fit-shape-to-text:t" inset="0,0,0,0">
                <w:txbxContent>
                  <w:p w14:paraId="1B73B2C1" w14:textId="77777777" w:rsidR="00434207" w:rsidRDefault="0043420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794" w14:textId="77777777" w:rsidR="00F12290" w:rsidRDefault="00F12290">
      <w:pPr>
        <w:spacing w:after="0" w:line="240" w:lineRule="auto"/>
      </w:pPr>
      <w:r>
        <w:separator/>
      </w:r>
    </w:p>
  </w:footnote>
  <w:footnote w:type="continuationSeparator" w:id="0">
    <w:p w14:paraId="127BC7D5" w14:textId="77777777" w:rsidR="00F12290" w:rsidRDefault="00F1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4B8A" w14:textId="0F80E79C" w:rsidR="00434207" w:rsidRDefault="004342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CA2C363" wp14:editId="048222E2">
              <wp:simplePos x="0" y="0"/>
              <wp:positionH relativeFrom="page">
                <wp:posOffset>3571240</wp:posOffset>
              </wp:positionH>
              <wp:positionV relativeFrom="page">
                <wp:posOffset>762635</wp:posOffset>
              </wp:positionV>
              <wp:extent cx="1277620" cy="204470"/>
              <wp:effectExtent l="0" t="635" r="0" b="4445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66B78" w14:textId="77777777" w:rsidR="00434207" w:rsidRDefault="0043420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2C363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26" type="#_x0000_t202" style="position:absolute;margin-left:281.2pt;margin-top:60.05pt;width:100.6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" filled="f" stroked="f">
              <v:textbox style="mso-fit-shape-to-text:t" inset="0,0,0,0">
                <w:txbxContent>
                  <w:p w14:paraId="56466B78" w14:textId="77777777" w:rsidR="00434207" w:rsidRDefault="0043420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2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2290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39"/>
    <w:semiHidden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10318</TotalTime>
  <Pages>9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1259</cp:revision>
  <dcterms:created xsi:type="dcterms:W3CDTF">2024-06-20T08:51:00Z</dcterms:created>
  <dcterms:modified xsi:type="dcterms:W3CDTF">2024-07-01T09:55:00Z</dcterms:modified>
  <cp:category/>
</cp:coreProperties>
</file>