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FE260" w14:textId="5F3D7BE4" w:rsidR="00CE5C0E" w:rsidRDefault="00AC4E10" w:rsidP="00AC4E10">
      <w:pPr>
        <w:rPr>
          <w:rFonts w:ascii="Verdana" w:hAnsi="Verdana"/>
          <w:b/>
          <w:bCs/>
          <w:color w:val="000000"/>
          <w:shd w:val="clear" w:color="auto" w:fill="FFFFFF"/>
        </w:rPr>
      </w:pPr>
      <w:r>
        <w:rPr>
          <w:rFonts w:ascii="Verdana" w:hAnsi="Verdana"/>
          <w:b/>
          <w:bCs/>
          <w:color w:val="000000"/>
          <w:shd w:val="clear" w:color="auto" w:fill="FFFFFF"/>
        </w:rPr>
        <w:t xml:space="preserve">Процак Катерина Володимирівна. Організаційно-економічне забезпечення та регулювання житлово-комунального обслуговування населення : Дис... канд. наук: 08.02.03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C4E10" w:rsidRPr="00AC4E10" w14:paraId="6EFE3296" w14:textId="77777777" w:rsidTr="00AC4E1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C4E10" w:rsidRPr="00AC4E10" w14:paraId="78ED053F" w14:textId="77777777">
              <w:trPr>
                <w:tblCellSpacing w:w="0" w:type="dxa"/>
              </w:trPr>
              <w:tc>
                <w:tcPr>
                  <w:tcW w:w="0" w:type="auto"/>
                  <w:vAlign w:val="center"/>
                  <w:hideMark/>
                </w:tcPr>
                <w:p w14:paraId="7CB1B91B" w14:textId="77777777" w:rsidR="00AC4E10" w:rsidRPr="00AC4E10" w:rsidRDefault="00AC4E10" w:rsidP="00AC4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4E10">
                    <w:rPr>
                      <w:rFonts w:ascii="Times New Roman" w:eastAsia="Times New Roman" w:hAnsi="Times New Roman" w:cs="Times New Roman"/>
                      <w:i/>
                      <w:iCs/>
                      <w:sz w:val="24"/>
                      <w:szCs w:val="24"/>
                    </w:rPr>
                    <w:lastRenderedPageBreak/>
                    <w:t>Процак К.В. „Організаційно-економічне забезпечення та регулювання житлово-комунального обслуговування населення”. – Рукопис.</w:t>
                  </w:r>
                </w:p>
                <w:p w14:paraId="49174B93" w14:textId="77777777" w:rsidR="00AC4E10" w:rsidRPr="00AC4E10" w:rsidRDefault="00AC4E10" w:rsidP="00AC4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4E10">
                    <w:rPr>
                      <w:rFonts w:ascii="Times New Roman" w:eastAsia="Times New Roman" w:hAnsi="Times New Roman" w:cs="Times New Roman"/>
                      <w:i/>
                      <w:iCs/>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Національний університет „Львівська політехніка”, Львів, 2006.</w:t>
                  </w:r>
                </w:p>
                <w:p w14:paraId="1DBB2F87" w14:textId="77777777" w:rsidR="00AC4E10" w:rsidRPr="00AC4E10" w:rsidRDefault="00AC4E10" w:rsidP="00AC4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4E10">
                    <w:rPr>
                      <w:rFonts w:ascii="Times New Roman" w:eastAsia="Times New Roman" w:hAnsi="Times New Roman" w:cs="Times New Roman"/>
                      <w:sz w:val="24"/>
                      <w:szCs w:val="24"/>
                    </w:rPr>
                    <w:t>Дисертацію присвячено питанням теоретичного узагальнення та вироблення методичних засад до виявлення сутності процесу житлово-комунального обслуговування населення та регулювання його структурно-організаційних елементів. Розроблено концептуальні положення організаційно-структурної побудови управління процесом обслуговування, зокрема обґрунтовано організаційну структуру й основні функції працюючого під контролем і за участю громадськості територіального соціально-ринкового координаційного центру управління діяльністю суб'єктів житлово-комунального обслуговування населення.</w:t>
                  </w:r>
                </w:p>
                <w:p w14:paraId="311B21D0" w14:textId="77777777" w:rsidR="00AC4E10" w:rsidRPr="00AC4E10" w:rsidRDefault="00AC4E10" w:rsidP="00AC4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4E10">
                    <w:rPr>
                      <w:rFonts w:ascii="Times New Roman" w:eastAsia="Times New Roman" w:hAnsi="Times New Roman" w:cs="Times New Roman"/>
                      <w:sz w:val="24"/>
                      <w:szCs w:val="24"/>
                    </w:rPr>
                    <w:t>Запропоновано класифікацію угод як основу взаємодії між замовником і виконавцем, що дасть змогу вибрати найменш ризиковані прогресивні форми контрактних відносин на різних рівнях ієрархії управління для гарантування максимальної корисності замовнику, а також радикальніше вирішувати проблему відповідальності сторін за свої зобов'язання. Розроблено методичні положення визначення пріоритетів та критеріїв ефективності організаційно-економічного забезпечення та регулювання елементів системи ЖКОН, що дадуть змогу впровадити ефективні форми участі громади у забезпеченні сталого розвитку середовища проживання та контролю за ефективністю дій ОМС та суб'єктів ЖКОН. Розроблено методичні підходи до виявлення потреб та джерел можливого залучення фінансування для реалізації проектів ресурсоощадних технологій.</w:t>
                  </w:r>
                </w:p>
              </w:tc>
            </w:tr>
          </w:tbl>
          <w:p w14:paraId="37EF362D" w14:textId="77777777" w:rsidR="00AC4E10" w:rsidRPr="00AC4E10" w:rsidRDefault="00AC4E10" w:rsidP="00AC4E10">
            <w:pPr>
              <w:spacing w:after="0" w:line="240" w:lineRule="auto"/>
              <w:rPr>
                <w:rFonts w:ascii="Times New Roman" w:eastAsia="Times New Roman" w:hAnsi="Times New Roman" w:cs="Times New Roman"/>
                <w:sz w:val="24"/>
                <w:szCs w:val="24"/>
              </w:rPr>
            </w:pPr>
          </w:p>
        </w:tc>
      </w:tr>
      <w:tr w:rsidR="00AC4E10" w:rsidRPr="00AC4E10" w14:paraId="39007943" w14:textId="77777777" w:rsidTr="00AC4E1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C4E10" w:rsidRPr="00AC4E10" w14:paraId="2BD7C640" w14:textId="77777777">
              <w:trPr>
                <w:tblCellSpacing w:w="0" w:type="dxa"/>
              </w:trPr>
              <w:tc>
                <w:tcPr>
                  <w:tcW w:w="0" w:type="auto"/>
                  <w:vAlign w:val="center"/>
                  <w:hideMark/>
                </w:tcPr>
                <w:p w14:paraId="28E7A752" w14:textId="77777777" w:rsidR="00AC4E10" w:rsidRPr="00AC4E10" w:rsidRDefault="00AC4E10" w:rsidP="00AC4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4E10">
                    <w:rPr>
                      <w:rFonts w:ascii="Times New Roman" w:eastAsia="Times New Roman" w:hAnsi="Times New Roman" w:cs="Times New Roman"/>
                      <w:sz w:val="24"/>
                      <w:szCs w:val="24"/>
                    </w:rPr>
                    <w:t>У дисертації на основі аналізу вітчизняної практики і теоретичного узагальнення світових тенденцій у цьому напрямку наведено нові теоретичні і методичні підходи до розв’язання наукової задачі організаційно-економічного забезпечення та регулювання житлово-комунального обслуговування населення, обґрунтовано необхідність розширення його змістовного наповнення та запропоновано інструментарій з удосконалення управління діяльністю підприємств та інших організаційно-структурних елементів цієї сфери в сучасних умовах господарювання в Україні. Основні результати дослідження дають підстави для таких висновків:</w:t>
                  </w:r>
                </w:p>
                <w:p w14:paraId="5A0AADF5" w14:textId="77777777" w:rsidR="00AC4E10" w:rsidRPr="00AC4E10" w:rsidRDefault="00AC4E10" w:rsidP="00AC4E10">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C4E10">
                    <w:rPr>
                      <w:rFonts w:ascii="Times New Roman" w:eastAsia="Times New Roman" w:hAnsi="Times New Roman" w:cs="Times New Roman"/>
                      <w:sz w:val="24"/>
                      <w:szCs w:val="24"/>
                    </w:rPr>
                    <w:t>Ефективне організаційно-економічне забезпечення процесу ЖКОН має ґрунтуватися на взаємодії його суб'єктів на засадах конкурентного вибору та якісно й кількісно визначених договірних відносинах з дотриманням принципів профілактичності, економічності та своєчасності максимізації вартості загального результату цієї взаємодії та корисності для замовників.</w:t>
                  </w:r>
                </w:p>
                <w:p w14:paraId="66C0808B" w14:textId="77777777" w:rsidR="00AC4E10" w:rsidRPr="00AC4E10" w:rsidRDefault="00AC4E10" w:rsidP="00AC4E10">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C4E10">
                    <w:rPr>
                      <w:rFonts w:ascii="Times New Roman" w:eastAsia="Times New Roman" w:hAnsi="Times New Roman" w:cs="Times New Roman"/>
                      <w:sz w:val="24"/>
                      <w:szCs w:val="24"/>
                    </w:rPr>
                    <w:t>В результаті досліджень організаційно-економічного забезпечення ЖКОН обґрунтовано як об'єктивну вимогу часу необхідність розширення змістовного наповнення його сутності функціями, реалізація яких сприятиме розвитку економічних, соціальних та інших інституцій територіальної спільноти на основі державного регулювання та принципів самоорганізації, плюралізму, соціально-економічних пріоритетів діяльності з метою створення комфортних, людино-орієнтованих умов проживання.</w:t>
                  </w:r>
                </w:p>
                <w:p w14:paraId="02104DF5" w14:textId="77777777" w:rsidR="00AC4E10" w:rsidRPr="00AC4E10" w:rsidRDefault="00AC4E10" w:rsidP="00AC4E10">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C4E10">
                    <w:rPr>
                      <w:rFonts w:ascii="Times New Roman" w:eastAsia="Times New Roman" w:hAnsi="Times New Roman" w:cs="Times New Roman"/>
                      <w:sz w:val="24"/>
                      <w:szCs w:val="24"/>
                    </w:rPr>
                    <w:t>Організаційно-економічне забезпечення діяльності суб'єктів ЖКОН має ґрунтуватися на розділенні функцій замовлення й оплати послуг від їхнього виконання, що обумовило необхідність уточнення поняття середовища проживання як складової соціально-</w:t>
                  </w:r>
                  <w:r w:rsidRPr="00AC4E10">
                    <w:rPr>
                      <w:rFonts w:ascii="Times New Roman" w:eastAsia="Times New Roman" w:hAnsi="Times New Roman" w:cs="Times New Roman"/>
                      <w:sz w:val="24"/>
                      <w:szCs w:val="24"/>
                    </w:rPr>
                    <w:lastRenderedPageBreak/>
                    <w:t>економічної системи, у якій взаємодіють соціальна територіальна спільнота, житлово-комунальні підприємства, підприємницькі структури, соціальні, екологічні, спортивно-оздоровчі, професійні волонтерські та інші інституції.</w:t>
                  </w:r>
                </w:p>
                <w:p w14:paraId="468B7457" w14:textId="77777777" w:rsidR="00AC4E10" w:rsidRPr="00AC4E10" w:rsidRDefault="00AC4E10" w:rsidP="00AC4E10">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C4E10">
                    <w:rPr>
                      <w:rFonts w:ascii="Times New Roman" w:eastAsia="Times New Roman" w:hAnsi="Times New Roman" w:cs="Times New Roman"/>
                      <w:sz w:val="24"/>
                      <w:szCs w:val="24"/>
                    </w:rPr>
                    <w:t>Обґрунтовано організаційну структуру й основні функції територіального соціально-ринкового координаційного центру управління діяльністю суб'єктів ЖКОН, який повинен забезпечити сталий розвиток територіальної спільноти населення за високими соціальними стандартами, запропоновано алгоритм впровадження прогресивних форм житлово-комунального обслуговування, участь замовника у прийманні виконаної роботи та безготівковий розрахунок за надані послуги.</w:t>
                  </w:r>
                </w:p>
                <w:p w14:paraId="6EFAFA42" w14:textId="77777777" w:rsidR="00AC4E10" w:rsidRPr="00AC4E10" w:rsidRDefault="00AC4E10" w:rsidP="00AC4E10">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C4E10">
                    <w:rPr>
                      <w:rFonts w:ascii="Times New Roman" w:eastAsia="Times New Roman" w:hAnsi="Times New Roman" w:cs="Times New Roman"/>
                      <w:sz w:val="24"/>
                      <w:szCs w:val="24"/>
                    </w:rPr>
                    <w:t>Запропоновано класифікацію угод як основу взаємодії між замовником і виконавцем, за якою можна вибрати найменш ризиковані прогресивні форми контрактних відносин на різних рівнях ієрархії управління, які гарантуватимуть максимізацію корисності для замовника, а також радикальніше вирішувати проблему відповідальності сторін за свої зобов'язання.</w:t>
                  </w:r>
                </w:p>
                <w:p w14:paraId="2D5F9FDA" w14:textId="77777777" w:rsidR="00AC4E10" w:rsidRPr="00AC4E10" w:rsidRDefault="00AC4E10" w:rsidP="00AC4E10">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C4E10">
                    <w:rPr>
                      <w:rFonts w:ascii="Times New Roman" w:eastAsia="Times New Roman" w:hAnsi="Times New Roman" w:cs="Times New Roman"/>
                      <w:sz w:val="24"/>
                      <w:szCs w:val="24"/>
                    </w:rPr>
                    <w:t>Розроблено методичні положення визначення пріоритетів та критеріїв ефективності організаційно-економічного забезпечення діяльності суб'єктів ЖКОН, які дадуть змогу впровадити ефективні форми участі громади у досягненні сталого розвитку середовища проживання та контролю ефективності дій ОМС та суб'єктів ЖКОН.</w:t>
                  </w:r>
                </w:p>
                <w:p w14:paraId="48843AFF" w14:textId="77777777" w:rsidR="00AC4E10" w:rsidRPr="00AC4E10" w:rsidRDefault="00AC4E10" w:rsidP="00AC4E10">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C4E10">
                    <w:rPr>
                      <w:rFonts w:ascii="Times New Roman" w:eastAsia="Times New Roman" w:hAnsi="Times New Roman" w:cs="Times New Roman"/>
                      <w:sz w:val="24"/>
                      <w:szCs w:val="24"/>
                    </w:rPr>
                    <w:t>Розроблені методичні положення до виявлення потреб та джерел можливого залучення фінансування для реалізації проектів ресурсоощадних технологій і визначення термінів заміни застарілих засобів та мереж дадуть змогу інтенсифікувати роботу з підвищення надійності та економічності функціонування середовища проживання.</w:t>
                  </w:r>
                </w:p>
                <w:p w14:paraId="13D82972" w14:textId="77777777" w:rsidR="00AC4E10" w:rsidRPr="00AC4E10" w:rsidRDefault="00AC4E10" w:rsidP="00AC4E10">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C4E10">
                    <w:rPr>
                      <w:rFonts w:ascii="Times New Roman" w:eastAsia="Times New Roman" w:hAnsi="Times New Roman" w:cs="Times New Roman"/>
                      <w:sz w:val="24"/>
                      <w:szCs w:val="24"/>
                    </w:rPr>
                    <w:t>Для побудови ефективного управління процесом організаційно-економічного забезпечення ЖКОН визначено підхід до визначення показників оцінки взаємодії та взаємовідносин суб'єктів ЖКОН, запропоновано створення інформаційної бази даних управління діяльністю суб’єктів ЖКОН, яка повинна забезпечити потреби управління в нормативно-методичній та фактографічній інформації, даних персоніфікованого обліку взаємодіючих фізичних та юридичних осіб, показників субвенцій, субсидій, витрат ресурсів, оцінок культури обслуговування тощо.</w:t>
                  </w:r>
                </w:p>
                <w:p w14:paraId="66BAC7F6" w14:textId="77777777" w:rsidR="00AC4E10" w:rsidRPr="00AC4E10" w:rsidRDefault="00AC4E10" w:rsidP="00AC4E10">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C4E10">
                    <w:rPr>
                      <w:rFonts w:ascii="Times New Roman" w:eastAsia="Times New Roman" w:hAnsi="Times New Roman" w:cs="Times New Roman"/>
                      <w:sz w:val="24"/>
                      <w:szCs w:val="24"/>
                    </w:rPr>
                    <w:t>Запропоновано більш досконалий мотиваційний механізм, який дасть змогу підвищити відповідальність персоналу за своєчасність та якість наданих послуг, створення сприятливих умов для розвитку самоорганізації та використання синергічного потенціалу.</w:t>
                  </w:r>
                </w:p>
                <w:p w14:paraId="2696287F" w14:textId="77777777" w:rsidR="00AC4E10" w:rsidRPr="00AC4E10" w:rsidRDefault="00AC4E10" w:rsidP="00AC4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4E10">
                    <w:rPr>
                      <w:rFonts w:ascii="Times New Roman" w:eastAsia="Times New Roman" w:hAnsi="Times New Roman" w:cs="Times New Roman"/>
                      <w:sz w:val="24"/>
                      <w:szCs w:val="24"/>
                    </w:rPr>
                    <w:t>10. На підставі результатів дослідження розроблено такі пропозиції та рекомендації:</w:t>
                  </w:r>
                </w:p>
                <w:p w14:paraId="699C5AD7" w14:textId="77777777" w:rsidR="00AC4E10" w:rsidRPr="00AC4E10" w:rsidRDefault="00AC4E10" w:rsidP="00AC4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4E10">
                    <w:rPr>
                      <w:rFonts w:ascii="Times New Roman" w:eastAsia="Times New Roman" w:hAnsi="Times New Roman" w:cs="Times New Roman"/>
                      <w:sz w:val="24"/>
                      <w:szCs w:val="24"/>
                    </w:rPr>
                    <w:t>Кабінету Міністрів України впорядкувати нормативно-методичне забезпечення, запровадити пільгове кредитування, інвестування та цільове бюджетне фінансування капітального ремонту житлового фонду, внутрішньобудинкових мереж та обладнання, а також дозволити об'єднанням співвласників ОСББ самостійно шукати джерела фінансування таких проектів, для чого виручку від здачі в оренду нежитлових приміщень залишити територіальній спільноті; регламентувати порядок встановлення квартирних і будинкових засобів обліку витрат води, теплоенергетичних ресурсів за рахунок бюджетів ОМС, залучення пільгових кредитів та власних коштів ОСББ, для чого вирішити питання використання ними коштів від оренди нежитлових приміщень та прибудинкових територій, звільнення їх від оподаткування.</w:t>
                  </w:r>
                </w:p>
                <w:p w14:paraId="2E55C79E" w14:textId="77777777" w:rsidR="00AC4E10" w:rsidRPr="00AC4E10" w:rsidRDefault="00AC4E10" w:rsidP="00AC4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4E10">
                    <w:rPr>
                      <w:rFonts w:ascii="Times New Roman" w:eastAsia="Times New Roman" w:hAnsi="Times New Roman" w:cs="Times New Roman"/>
                      <w:sz w:val="24"/>
                      <w:szCs w:val="24"/>
                    </w:rPr>
                    <w:t xml:space="preserve">органам місцевого самоврядування: типізувати та забезпечити публічність посадових зобов'язань керівників ЖКП, розробити механізм моніторингу їхнього виконання за участю громадськості, </w:t>
                  </w:r>
                  <w:r w:rsidRPr="00AC4E10">
                    <w:rPr>
                      <w:rFonts w:ascii="Times New Roman" w:eastAsia="Times New Roman" w:hAnsi="Times New Roman" w:cs="Times New Roman"/>
                      <w:sz w:val="24"/>
                      <w:szCs w:val="24"/>
                    </w:rPr>
                    <w:lastRenderedPageBreak/>
                    <w:t>запропонувати ефективний мотиваційний механізм всіх категорій працівників ЖКП; законодавчо вирішити проблему відповідальності замовника і отримувача послуг за свої зобов'язання; розробити організаційно-економічний механізм дотримання принципу профілактичності у практичній діяльності ЖКП та здійснити контроль за його виконанням.</w:t>
                  </w:r>
                </w:p>
              </w:tc>
            </w:tr>
          </w:tbl>
          <w:p w14:paraId="0FDD5487" w14:textId="77777777" w:rsidR="00AC4E10" w:rsidRPr="00AC4E10" w:rsidRDefault="00AC4E10" w:rsidP="00AC4E10">
            <w:pPr>
              <w:spacing w:after="0" w:line="240" w:lineRule="auto"/>
              <w:rPr>
                <w:rFonts w:ascii="Times New Roman" w:eastAsia="Times New Roman" w:hAnsi="Times New Roman" w:cs="Times New Roman"/>
                <w:sz w:val="24"/>
                <w:szCs w:val="24"/>
              </w:rPr>
            </w:pPr>
          </w:p>
        </w:tc>
      </w:tr>
    </w:tbl>
    <w:p w14:paraId="08FDE303" w14:textId="77777777" w:rsidR="00AC4E10" w:rsidRPr="00AC4E10" w:rsidRDefault="00AC4E10" w:rsidP="00AC4E10"/>
    <w:sectPr w:rsidR="00AC4E10" w:rsidRPr="00AC4E1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BE080" w14:textId="77777777" w:rsidR="00D44F41" w:rsidRDefault="00D44F41">
      <w:pPr>
        <w:spacing w:after="0" w:line="240" w:lineRule="auto"/>
      </w:pPr>
      <w:r>
        <w:separator/>
      </w:r>
    </w:p>
  </w:endnote>
  <w:endnote w:type="continuationSeparator" w:id="0">
    <w:p w14:paraId="0ED6B70D" w14:textId="77777777" w:rsidR="00D44F41" w:rsidRDefault="00D44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6AF4F" w14:textId="77777777" w:rsidR="00D44F41" w:rsidRDefault="00D44F41">
      <w:pPr>
        <w:spacing w:after="0" w:line="240" w:lineRule="auto"/>
      </w:pPr>
      <w:r>
        <w:separator/>
      </w:r>
    </w:p>
  </w:footnote>
  <w:footnote w:type="continuationSeparator" w:id="0">
    <w:p w14:paraId="2523A92C" w14:textId="77777777" w:rsidR="00D44F41" w:rsidRDefault="00D44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44F4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FA6"/>
    <w:multiLevelType w:val="multilevel"/>
    <w:tmpl w:val="5E9AA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C5098"/>
    <w:multiLevelType w:val="multilevel"/>
    <w:tmpl w:val="18549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F778D"/>
    <w:multiLevelType w:val="multilevel"/>
    <w:tmpl w:val="4218F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E4718"/>
    <w:multiLevelType w:val="multilevel"/>
    <w:tmpl w:val="32BA6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15177E"/>
    <w:multiLevelType w:val="multilevel"/>
    <w:tmpl w:val="E72AE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50646B"/>
    <w:multiLevelType w:val="multilevel"/>
    <w:tmpl w:val="34DA0C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E925DB"/>
    <w:multiLevelType w:val="multilevel"/>
    <w:tmpl w:val="ECB0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995F5D"/>
    <w:multiLevelType w:val="multilevel"/>
    <w:tmpl w:val="A0A0AE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547C70"/>
    <w:multiLevelType w:val="multilevel"/>
    <w:tmpl w:val="54221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B57561"/>
    <w:multiLevelType w:val="multilevel"/>
    <w:tmpl w:val="A06857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028AC"/>
    <w:multiLevelType w:val="multilevel"/>
    <w:tmpl w:val="2DA6A6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135CB8"/>
    <w:multiLevelType w:val="multilevel"/>
    <w:tmpl w:val="7E16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C73695"/>
    <w:multiLevelType w:val="multilevel"/>
    <w:tmpl w:val="4BDA3B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F47238"/>
    <w:multiLevelType w:val="multilevel"/>
    <w:tmpl w:val="43C66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E65DC9"/>
    <w:multiLevelType w:val="multilevel"/>
    <w:tmpl w:val="4CCE1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D61027"/>
    <w:multiLevelType w:val="multilevel"/>
    <w:tmpl w:val="A01836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5155AF"/>
    <w:multiLevelType w:val="multilevel"/>
    <w:tmpl w:val="BBC63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5C001F"/>
    <w:multiLevelType w:val="multilevel"/>
    <w:tmpl w:val="8872F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511146"/>
    <w:multiLevelType w:val="multilevel"/>
    <w:tmpl w:val="B0B20E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8718D4"/>
    <w:multiLevelType w:val="multilevel"/>
    <w:tmpl w:val="7D4A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8E1377"/>
    <w:multiLevelType w:val="multilevel"/>
    <w:tmpl w:val="EC923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BD623A"/>
    <w:multiLevelType w:val="multilevel"/>
    <w:tmpl w:val="4454D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0907C6"/>
    <w:multiLevelType w:val="multilevel"/>
    <w:tmpl w:val="AA029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F01197"/>
    <w:multiLevelType w:val="multilevel"/>
    <w:tmpl w:val="1124CF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8F4A40"/>
    <w:multiLevelType w:val="multilevel"/>
    <w:tmpl w:val="596CD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4C72C1"/>
    <w:multiLevelType w:val="multilevel"/>
    <w:tmpl w:val="411C1D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BC4471"/>
    <w:multiLevelType w:val="multilevel"/>
    <w:tmpl w:val="E18C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D6169C"/>
    <w:multiLevelType w:val="multilevel"/>
    <w:tmpl w:val="08621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9353DB"/>
    <w:multiLevelType w:val="multilevel"/>
    <w:tmpl w:val="7ECA8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C54FFA"/>
    <w:multiLevelType w:val="multilevel"/>
    <w:tmpl w:val="F464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E55AD9"/>
    <w:multiLevelType w:val="multilevel"/>
    <w:tmpl w:val="0CE4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4F24B8"/>
    <w:multiLevelType w:val="multilevel"/>
    <w:tmpl w:val="E48A07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9"/>
  </w:num>
  <w:num w:numId="3">
    <w:abstractNumId w:val="10"/>
  </w:num>
  <w:num w:numId="4">
    <w:abstractNumId w:val="26"/>
  </w:num>
  <w:num w:numId="5">
    <w:abstractNumId w:val="25"/>
  </w:num>
  <w:num w:numId="6">
    <w:abstractNumId w:val="6"/>
  </w:num>
  <w:num w:numId="7">
    <w:abstractNumId w:val="1"/>
  </w:num>
  <w:num w:numId="8">
    <w:abstractNumId w:val="11"/>
  </w:num>
  <w:num w:numId="9">
    <w:abstractNumId w:val="27"/>
  </w:num>
  <w:num w:numId="10">
    <w:abstractNumId w:val="20"/>
  </w:num>
  <w:num w:numId="11">
    <w:abstractNumId w:val="8"/>
  </w:num>
  <w:num w:numId="12">
    <w:abstractNumId w:val="5"/>
  </w:num>
  <w:num w:numId="13">
    <w:abstractNumId w:val="3"/>
  </w:num>
  <w:num w:numId="14">
    <w:abstractNumId w:val="30"/>
  </w:num>
  <w:num w:numId="15">
    <w:abstractNumId w:val="9"/>
  </w:num>
  <w:num w:numId="16">
    <w:abstractNumId w:val="0"/>
  </w:num>
  <w:num w:numId="17">
    <w:abstractNumId w:val="7"/>
  </w:num>
  <w:num w:numId="18">
    <w:abstractNumId w:val="4"/>
  </w:num>
  <w:num w:numId="19">
    <w:abstractNumId w:val="28"/>
  </w:num>
  <w:num w:numId="20">
    <w:abstractNumId w:val="18"/>
  </w:num>
  <w:num w:numId="21">
    <w:abstractNumId w:val="13"/>
  </w:num>
  <w:num w:numId="22">
    <w:abstractNumId w:val="23"/>
  </w:num>
  <w:num w:numId="23">
    <w:abstractNumId w:val="29"/>
  </w:num>
  <w:num w:numId="24">
    <w:abstractNumId w:val="31"/>
  </w:num>
  <w:num w:numId="25">
    <w:abstractNumId w:val="22"/>
  </w:num>
  <w:num w:numId="26">
    <w:abstractNumId w:val="15"/>
  </w:num>
  <w:num w:numId="27">
    <w:abstractNumId w:val="16"/>
  </w:num>
  <w:num w:numId="28">
    <w:abstractNumId w:val="2"/>
  </w:num>
  <w:num w:numId="29">
    <w:abstractNumId w:val="14"/>
  </w:num>
  <w:num w:numId="30">
    <w:abstractNumId w:val="17"/>
  </w:num>
  <w:num w:numId="31">
    <w:abstractNumId w:val="12"/>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DF2"/>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4F41"/>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91213</TotalTime>
  <Pages>4</Pages>
  <Words>1098</Words>
  <Characters>6263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4438</cp:revision>
  <dcterms:created xsi:type="dcterms:W3CDTF">2024-06-20T08:51:00Z</dcterms:created>
  <dcterms:modified xsi:type="dcterms:W3CDTF">2024-09-27T23:08:00Z</dcterms:modified>
  <cp:category/>
</cp:coreProperties>
</file>