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7DD48" w14:textId="77777777" w:rsidR="009C266E" w:rsidRDefault="009C266E" w:rsidP="009C266E">
      <w:pPr>
        <w:pStyle w:val="afffffffffffffffffffffffffff5"/>
        <w:rPr>
          <w:rFonts w:ascii="Verdana" w:hAnsi="Verdana"/>
          <w:color w:val="000000"/>
          <w:sz w:val="21"/>
          <w:szCs w:val="21"/>
        </w:rPr>
      </w:pPr>
      <w:r>
        <w:rPr>
          <w:rFonts w:ascii="Helvetica" w:hAnsi="Helvetica" w:cs="Helvetica"/>
          <w:b/>
          <w:bCs w:val="0"/>
          <w:color w:val="222222"/>
          <w:sz w:val="21"/>
          <w:szCs w:val="21"/>
        </w:rPr>
        <w:t>Гороховская, Наталия Германовна.</w:t>
      </w:r>
    </w:p>
    <w:p w14:paraId="4D40F6CF" w14:textId="77777777" w:rsidR="009C266E" w:rsidRDefault="009C266E" w:rsidP="009C266E">
      <w:pPr>
        <w:pStyle w:val="20"/>
        <w:spacing w:before="0" w:after="312"/>
        <w:rPr>
          <w:rFonts w:ascii="Arial" w:hAnsi="Arial" w:cs="Arial"/>
          <w:caps/>
          <w:color w:val="333333"/>
          <w:sz w:val="27"/>
          <w:szCs w:val="27"/>
        </w:rPr>
      </w:pPr>
      <w:r>
        <w:rPr>
          <w:rFonts w:ascii="Helvetica" w:hAnsi="Helvetica" w:cs="Helvetica"/>
          <w:caps/>
          <w:color w:val="222222"/>
          <w:sz w:val="21"/>
          <w:szCs w:val="21"/>
        </w:rPr>
        <w:t>Об определимости понятия "быть свободной алгеброй" в бесконечных логиках и универсальные вложения групп : диссертация ... кандидата физико-математических наук : 01.01.06. - Омск, 1998. - 76 с.</w:t>
      </w:r>
    </w:p>
    <w:p w14:paraId="5049535E" w14:textId="77777777" w:rsidR="009C266E" w:rsidRDefault="009C266E" w:rsidP="009C266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Гороховская, Наталия Германовна</w:t>
      </w:r>
    </w:p>
    <w:p w14:paraId="281013C4"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0BD31F26"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 Введение</w:t>
      </w:r>
    </w:p>
    <w:p w14:paraId="3D5E9938"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 определимости понятия "быть свободной алгеброй" в бесконечных логиках</w:t>
      </w:r>
    </w:p>
    <w:p w14:paraId="7128DDD2"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Некоторые бесконечные логики и критерии эквивалентности моделей</w:t>
      </w:r>
    </w:p>
    <w:p w14:paraId="47D2B162"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НР-логика. Некоторые алгебраические свойства, выразимые в НР-логике</w:t>
      </w:r>
    </w:p>
    <w:p w14:paraId="78EBCC3F"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Определение НР-логики</w:t>
      </w:r>
    </w:p>
    <w:p w14:paraId="09079051"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Интерпретируемость свободных конечно порожденных полугрупп, групп и колец в арифметике</w:t>
      </w:r>
    </w:p>
    <w:p w14:paraId="0238179F"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Формульность конечно порожденных алгебр в НР-логике</w:t>
      </w:r>
    </w:p>
    <w:p w14:paraId="3CEED7F9"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 Формульность свойства простоты для групп и колец</w:t>
      </w:r>
    </w:p>
    <w:p w14:paraId="31E0418E"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1.2.5 О формульности понятия "финитно аппроксимируемая группа"</w:t>
      </w:r>
    </w:p>
    <w:p w14:paraId="033FA3C1"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1.2.6 Формульность понятия "нильпотентная аппроксимируемость"</w:t>
      </w:r>
    </w:p>
    <w:p w14:paraId="3B79DB4F"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для групп и колец</w:t>
      </w:r>
    </w:p>
    <w:p w14:paraId="4CDF4862"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Постановка проблемы определимости</w:t>
      </w:r>
    </w:p>
    <w:p w14:paraId="2CE8AA8C"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Об определимости понятия "свободная абелева группа" в бесконечных логиках</w:t>
      </w:r>
    </w:p>
    <w:p w14:paraId="74E3999E"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Определение почти свободных групп</w:t>
      </w:r>
    </w:p>
    <w:p w14:paraId="5A893DA7"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Сводка основных результатов по проблеме Ь^-эквивалентности группы свободной группе и проблеме определимости</w:t>
      </w:r>
    </w:p>
    <w:p w14:paraId="5E0F283A"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1.4.3 Свойство "быть свободной абелевой группой" не является определимым в НЕ-логике</w:t>
      </w:r>
    </w:p>
    <w:p w14:paraId="06871CE1"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1.4.4 Счетная определимость понятия "свободная абелева группа" в НР-лоттке</w:t>
      </w:r>
    </w:p>
    <w:p w14:paraId="086B951F"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Об определимости понятия "свободная группа" в бесконечных логиках</w:t>
      </w:r>
    </w:p>
    <w:p w14:paraId="22446E47"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1.5.1 Теорема А.Меклера</w:t>
      </w:r>
    </w:p>
    <w:p w14:paraId="36474D1F"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1.5.2 Об определимости понятия "свободная группа" в НР-логике</w:t>
      </w:r>
    </w:p>
    <w:p w14:paraId="686661FF"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Определимость понятия "быть свободной алгеброй" в бесконечных логиках</w:t>
      </w:r>
    </w:p>
    <w:p w14:paraId="3ACA5545"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1.6.1 Необходимые сведения из теории алгебраических систем</w:t>
      </w:r>
    </w:p>
    <w:p w14:paraId="7F36058A"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1.6.2 Определения</w:t>
      </w:r>
    </w:p>
    <w:p w14:paraId="567F784A"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1.6.3 Условие ¿оох~ и 1 /•'"' г&gt;квивалентности произвольной алгебры свободной алгебре данной сигнатуры</w:t>
      </w:r>
    </w:p>
    <w:p w14:paraId="7336A425"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1.6.4 Технические результаты</w:t>
      </w:r>
    </w:p>
    <w:p w14:paraId="1244038C"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1.6.5 Аналоги леммы Хигмана и критерия Понтрягина для универсальных алгебр</w:t>
      </w:r>
    </w:p>
    <w:p w14:paraId="5648DF1C"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Универсальные классы групп и универсальные вложения</w:t>
      </w:r>
    </w:p>
    <w:p w14:paraId="44A4196D"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У—, 3—, УЗ— и ЗУ—формулы и их основные структурные свойства.</w:t>
      </w:r>
    </w:p>
    <w:p w14:paraId="667045C9"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Примеры использования теорем об устойчивости</w:t>
      </w:r>
    </w:p>
    <w:p w14:paraId="7C320C07"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У-, 3-, УЗ- и ЗУ-формулы</w:t>
      </w:r>
    </w:p>
    <w:p w14:paraId="27046AD8"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Примеры универсально аксиоматизируемых классов</w:t>
      </w:r>
    </w:p>
    <w:p w14:paraId="6F83B583"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Примеры классов, теории которых индуктивны</w:t>
      </w:r>
    </w:p>
    <w:p w14:paraId="2AD742A6"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Ультрафильтры и ультрапроизведения</w:t>
      </w:r>
    </w:p>
    <w:p w14:paraId="1F24AF0D"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Локальные классы и теорема компактности</w:t>
      </w:r>
    </w:p>
    <w:p w14:paraId="5D5C49E8"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Примеры</w:t>
      </w:r>
    </w:p>
    <w:p w14:paraId="388C2E5C"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Модельная полнота</w:t>
      </w:r>
    </w:p>
    <w:p w14:paraId="74DB5A88"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Элементарные отображения</w:t>
      </w:r>
    </w:p>
    <w:p w14:paraId="1E2D0ED1"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2.3.2 Определение модельно полной теории и критерий модельной полноты</w:t>
      </w:r>
    </w:p>
    <w:p w14:paraId="419E21B2"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Алгебраически и экзистенциально замкнутые системы</w:t>
      </w:r>
    </w:p>
    <w:p w14:paraId="6A7F8539"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Универсальные вложения групп</w:t>
      </w:r>
    </w:p>
    <w:p w14:paraId="3926DA90"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Необходимые сведения из теории С-групп</w:t>
      </w:r>
    </w:p>
    <w:p w14:paraId="229B8DA5"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2.6.1 Категория С-групп</w:t>
      </w:r>
    </w:p>
    <w:p w14:paraId="4495C9C9"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2.6.2 Аппроксимируемость и дискриминируемость</w:t>
      </w:r>
    </w:p>
    <w:p w14:paraId="416AEB80"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Характеризация универсальных вложений</w:t>
      </w:r>
    </w:p>
    <w:p w14:paraId="3DD97247"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Универсальные вложения для свободных произведений</w:t>
      </w:r>
    </w:p>
    <w:p w14:paraId="5A01F365"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2.9 Диофантовы предикаты</w:t>
      </w:r>
    </w:p>
    <w:p w14:paraId="17E34F39" w14:textId="77777777" w:rsidR="009C266E" w:rsidRDefault="009C266E" w:rsidP="009C26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Литература</w:t>
      </w:r>
    </w:p>
    <w:p w14:paraId="4FDAD129" w14:textId="554904D4" w:rsidR="00BD642D" w:rsidRPr="009C266E" w:rsidRDefault="00BD642D" w:rsidP="009C266E"/>
    <w:sectPr w:rsidR="00BD642D" w:rsidRPr="009C266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984F8" w14:textId="77777777" w:rsidR="003835A4" w:rsidRDefault="003835A4">
      <w:pPr>
        <w:spacing w:after="0" w:line="240" w:lineRule="auto"/>
      </w:pPr>
      <w:r>
        <w:separator/>
      </w:r>
    </w:p>
  </w:endnote>
  <w:endnote w:type="continuationSeparator" w:id="0">
    <w:p w14:paraId="5BE5E761" w14:textId="77777777" w:rsidR="003835A4" w:rsidRDefault="00383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78DE7" w14:textId="77777777" w:rsidR="003835A4" w:rsidRDefault="003835A4"/>
    <w:p w14:paraId="488BA285" w14:textId="77777777" w:rsidR="003835A4" w:rsidRDefault="003835A4"/>
    <w:p w14:paraId="2FE6ACB9" w14:textId="77777777" w:rsidR="003835A4" w:rsidRDefault="003835A4"/>
    <w:p w14:paraId="3F7CF7F8" w14:textId="77777777" w:rsidR="003835A4" w:rsidRDefault="003835A4"/>
    <w:p w14:paraId="3841B8DD" w14:textId="77777777" w:rsidR="003835A4" w:rsidRDefault="003835A4"/>
    <w:p w14:paraId="4C5DD2F9" w14:textId="77777777" w:rsidR="003835A4" w:rsidRDefault="003835A4"/>
    <w:p w14:paraId="46736862" w14:textId="77777777" w:rsidR="003835A4" w:rsidRDefault="003835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804E5E" wp14:editId="004B3E3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69F3F" w14:textId="77777777" w:rsidR="003835A4" w:rsidRDefault="003835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804E5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C69F3F" w14:textId="77777777" w:rsidR="003835A4" w:rsidRDefault="003835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784DD8" w14:textId="77777777" w:rsidR="003835A4" w:rsidRDefault="003835A4"/>
    <w:p w14:paraId="264F33EF" w14:textId="77777777" w:rsidR="003835A4" w:rsidRDefault="003835A4"/>
    <w:p w14:paraId="478810D8" w14:textId="77777777" w:rsidR="003835A4" w:rsidRDefault="003835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9DDA08" wp14:editId="7FC244E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799E4" w14:textId="77777777" w:rsidR="003835A4" w:rsidRDefault="003835A4"/>
                          <w:p w14:paraId="49179924" w14:textId="77777777" w:rsidR="003835A4" w:rsidRDefault="003835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9DDA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3799E4" w14:textId="77777777" w:rsidR="003835A4" w:rsidRDefault="003835A4"/>
                    <w:p w14:paraId="49179924" w14:textId="77777777" w:rsidR="003835A4" w:rsidRDefault="003835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FB1113" w14:textId="77777777" w:rsidR="003835A4" w:rsidRDefault="003835A4"/>
    <w:p w14:paraId="3FCAE13E" w14:textId="77777777" w:rsidR="003835A4" w:rsidRDefault="003835A4">
      <w:pPr>
        <w:rPr>
          <w:sz w:val="2"/>
          <w:szCs w:val="2"/>
        </w:rPr>
      </w:pPr>
    </w:p>
    <w:p w14:paraId="652FCB1B" w14:textId="77777777" w:rsidR="003835A4" w:rsidRDefault="003835A4"/>
    <w:p w14:paraId="758FC4DD" w14:textId="77777777" w:rsidR="003835A4" w:rsidRDefault="003835A4">
      <w:pPr>
        <w:spacing w:after="0" w:line="240" w:lineRule="auto"/>
      </w:pPr>
    </w:p>
  </w:footnote>
  <w:footnote w:type="continuationSeparator" w:id="0">
    <w:p w14:paraId="6DE1A60A" w14:textId="77777777" w:rsidR="003835A4" w:rsidRDefault="00383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A4"/>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97894</TotalTime>
  <Pages>3</Pages>
  <Words>407</Words>
  <Characters>2321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749</cp:revision>
  <cp:lastPrinted>2009-02-06T05:36:00Z</cp:lastPrinted>
  <dcterms:created xsi:type="dcterms:W3CDTF">2024-01-07T13:43:00Z</dcterms:created>
  <dcterms:modified xsi:type="dcterms:W3CDTF">2025-05-21T12:18:00Z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