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5089" w14:textId="376BF568" w:rsidR="003A40C1" w:rsidRDefault="005327E9" w:rsidP="005327E9">
      <w:pPr>
        <w:rPr>
          <w:rFonts w:ascii="Verdana" w:hAnsi="Verdana"/>
          <w:b/>
          <w:bCs/>
          <w:color w:val="000000"/>
          <w:shd w:val="clear" w:color="auto" w:fill="FFFFFF"/>
        </w:rPr>
      </w:pPr>
      <w:r>
        <w:rPr>
          <w:rFonts w:ascii="Verdana" w:hAnsi="Verdana"/>
          <w:b/>
          <w:bCs/>
          <w:color w:val="000000"/>
          <w:shd w:val="clear" w:color="auto" w:fill="FFFFFF"/>
        </w:rPr>
        <w:t>Управління іноземним інвестуванням в умовах активізації підприємництва. : Дис... канд. наук: 08.06.02 - 2002.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27E9" w:rsidRPr="005327E9" w14:paraId="78083193" w14:textId="77777777" w:rsidTr="00532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7E9" w:rsidRPr="005327E9" w14:paraId="427855A4" w14:textId="77777777">
              <w:trPr>
                <w:tblCellSpacing w:w="0" w:type="dxa"/>
              </w:trPr>
              <w:tc>
                <w:tcPr>
                  <w:tcW w:w="0" w:type="auto"/>
                  <w:vAlign w:val="center"/>
                  <w:hideMark/>
                </w:tcPr>
                <w:p w14:paraId="40D71D6E"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lastRenderedPageBreak/>
                    <w:t>Ковалишин П.В. Управління іноземним інвестуванням в умовах активізації підприємництва. - Рукопис.</w:t>
                  </w:r>
                </w:p>
                <w:p w14:paraId="1790CF89"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Національний університет “Львівська політехніка”, Львів, 2002.</w:t>
                  </w:r>
                </w:p>
                <w:p w14:paraId="2976827A"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Дисертація присвячена питанням активізації інвестиційної діяльності, її значенню в умовах економіки перехідного періоду. Досліджено стан іноземного інвестування, визначено напрями активізації розвитку іноземного інвестування, запропоновано підходи до вдосконалення механізмів залучення іноземних інвестицій. Розглянуто роль держави та інших інвестиційних інститутів в процесі активізації інвестиційної діяльності шляхом розвитку вільних економічних зон, як ефективних інструментів активізації зовнішньоекономічної діяльності, запропоновано методичні підходи до аналізу та оцінки ризиків інвестиційних процесів. Визначено основні напрями стратегії управління та регулювання процесу іноземного інвестування, методику розрахунку ефективності інвестицій та ефекту держави від реалізації інвестиційних проектів.</w:t>
                  </w:r>
                </w:p>
              </w:tc>
            </w:tr>
          </w:tbl>
          <w:p w14:paraId="1D7A4DD2" w14:textId="77777777" w:rsidR="005327E9" w:rsidRPr="005327E9" w:rsidRDefault="005327E9" w:rsidP="005327E9">
            <w:pPr>
              <w:spacing w:after="0" w:line="240" w:lineRule="auto"/>
              <w:rPr>
                <w:rFonts w:ascii="Times New Roman" w:eastAsia="Times New Roman" w:hAnsi="Times New Roman" w:cs="Times New Roman"/>
                <w:sz w:val="24"/>
                <w:szCs w:val="24"/>
              </w:rPr>
            </w:pPr>
          </w:p>
        </w:tc>
      </w:tr>
      <w:tr w:rsidR="005327E9" w:rsidRPr="005327E9" w14:paraId="289BAE47" w14:textId="77777777" w:rsidTr="00532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7E9" w:rsidRPr="005327E9" w14:paraId="4C5FF46E" w14:textId="77777777">
              <w:trPr>
                <w:tblCellSpacing w:w="0" w:type="dxa"/>
              </w:trPr>
              <w:tc>
                <w:tcPr>
                  <w:tcW w:w="0" w:type="auto"/>
                  <w:vAlign w:val="center"/>
                  <w:hideMark/>
                </w:tcPr>
                <w:p w14:paraId="6D62CEC2"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1. Україна має один з найнижчих показників залучення прямих іноземних інвестицій серед країн Центральної та Східної Європи і СНД. Сума залучених прямих іноземних інвестицій на душу населення дорівнює 78 дол. США. Такий стан із залученням прямих іноземних інвестицій можна пояснити несприятливістю інвестиційного клімату. Для 95% інвесторів приватизаційна політика є визначальним фактором, що впливає на прийняття ними інвестиційних рішень.</w:t>
                  </w:r>
                </w:p>
                <w:p w14:paraId="02A2DA26"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2. Аналіз стану системи управління інвестиційною діяльністю свідчить про її невисоку ефективність, переважне використання адміністративних методів управління. Дослідження показало, що необхідно змінити пріоритети у стимулюванні інвестиційної діяльності. Стратегічним напрямом удосконалення державного управління інвестиційною діяльністю має бути спрямованість на вирішення пріоритетних, стратегічно важливих і соціальних завдань.</w:t>
                  </w:r>
                </w:p>
                <w:p w14:paraId="3C97860C"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3. Дослідженням визначено основні напрямки вдосконалення структури управління іноземним інвестуванням. Україна потребує значних іноземних інвестицій. Проте їх реальне надходження становить близько 10% від необхідних для вирішення першочергових проблем. Комплексний аналіз стану інвестування виявив причини, які стримують активізацію інвестиційної діяльності. До них належать: нестабільність та надмірність регулятивного середовища, непрозорість законодавчої бази, невизначеність економічного оточення, велике податкове навантаження. Пріоритети політики, запропоновані респондентами опитування, включають лібералізацію інвестиційних та валютних операцій, репатріації прибутків, а також зняття обмежень на частку власності підприємств для іноземних компаній.</w:t>
                  </w:r>
                </w:p>
                <w:p w14:paraId="1BFE5494"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4. Потрібно на якісно новий рівень підняти рівень розроблюваних техніко-економічних обґрунтувань, що є важливою умовою успішної реалізації інвестиційних проектів за участю іноземних інвесторів, дотримуючись умов повного і всебічного врахування ризиків.</w:t>
                  </w:r>
                </w:p>
                <w:p w14:paraId="06FF708F"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5. В процесі регулювання іноземного інвестування при формуванні системи державних пільг і гарантій для окремих інвестиційних проектів із залученням іноземних інвесторів, до уваги повинна прийматись величина економічного ефекту держави від реалізації іноземних інвестицій відповідно до пропонованої методики.</w:t>
                  </w:r>
                </w:p>
                <w:p w14:paraId="108DD9AC"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lastRenderedPageBreak/>
                    <w:t>6. Оцінка інвестиційної привабливості галузей економіки та виробничих структур вільних економічних зон показує, що в умовах становлення національної економіки для них є характерним зниження господарської активності, незадовільний фінансовий стан більшості суб’єктів господарювання та тенденція до зниження частки інвестицій у базових галузях (зокрема аграрний сектор). Розроблення системи заходів пільгового режиму підприємницької і інвестиційної діяльності повинно забезпечити зменшення деформації територіального розвитку шляхом розширення потоків зовнішнього фінансування.</w:t>
                  </w:r>
                </w:p>
                <w:p w14:paraId="2CE4460C" w14:textId="77777777" w:rsidR="005327E9" w:rsidRPr="005327E9" w:rsidRDefault="005327E9" w:rsidP="0053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7E9">
                    <w:rPr>
                      <w:rFonts w:ascii="Times New Roman" w:eastAsia="Times New Roman" w:hAnsi="Times New Roman" w:cs="Times New Roman"/>
                      <w:sz w:val="24"/>
                      <w:szCs w:val="24"/>
                    </w:rPr>
                    <w:t>7. На підставі результатів дослідження можна надати такі рекомендації: Мінекономіки України сприяти повнішому використанню функцій управління іноземним інвестуванням; Фонду державного майна України активніше використовувати механізми залучення іноземних інвестицій, обгрунтовані методи їх економічної оцінки.</w:t>
                  </w:r>
                </w:p>
              </w:tc>
            </w:tr>
          </w:tbl>
          <w:p w14:paraId="1830F109" w14:textId="77777777" w:rsidR="005327E9" w:rsidRPr="005327E9" w:rsidRDefault="005327E9" w:rsidP="005327E9">
            <w:pPr>
              <w:spacing w:after="0" w:line="240" w:lineRule="auto"/>
              <w:rPr>
                <w:rFonts w:ascii="Times New Roman" w:eastAsia="Times New Roman" w:hAnsi="Times New Roman" w:cs="Times New Roman"/>
                <w:sz w:val="24"/>
                <w:szCs w:val="24"/>
              </w:rPr>
            </w:pPr>
          </w:p>
        </w:tc>
      </w:tr>
    </w:tbl>
    <w:p w14:paraId="43B27A10" w14:textId="77777777" w:rsidR="005327E9" w:rsidRPr="005327E9" w:rsidRDefault="005327E9" w:rsidP="005327E9"/>
    <w:sectPr w:rsidR="005327E9" w:rsidRPr="005327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0E8A" w14:textId="77777777" w:rsidR="00F00C9C" w:rsidRDefault="00F00C9C">
      <w:pPr>
        <w:spacing w:after="0" w:line="240" w:lineRule="auto"/>
      </w:pPr>
      <w:r>
        <w:separator/>
      </w:r>
    </w:p>
  </w:endnote>
  <w:endnote w:type="continuationSeparator" w:id="0">
    <w:p w14:paraId="123020AD" w14:textId="77777777" w:rsidR="00F00C9C" w:rsidRDefault="00F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5CBF" w14:textId="77777777" w:rsidR="00F00C9C" w:rsidRDefault="00F00C9C">
      <w:pPr>
        <w:spacing w:after="0" w:line="240" w:lineRule="auto"/>
      </w:pPr>
      <w:r>
        <w:separator/>
      </w:r>
    </w:p>
  </w:footnote>
  <w:footnote w:type="continuationSeparator" w:id="0">
    <w:p w14:paraId="7A326455" w14:textId="77777777" w:rsidR="00F00C9C" w:rsidRDefault="00F0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0C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8A2"/>
    <w:multiLevelType w:val="multilevel"/>
    <w:tmpl w:val="7704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1"/>
  </w:num>
  <w:num w:numId="3">
    <w:abstractNumId w:val="30"/>
  </w:num>
  <w:num w:numId="4">
    <w:abstractNumId w:val="18"/>
  </w:num>
  <w:num w:numId="5">
    <w:abstractNumId w:val="45"/>
  </w:num>
  <w:num w:numId="6">
    <w:abstractNumId w:val="23"/>
  </w:num>
  <w:num w:numId="7">
    <w:abstractNumId w:val="26"/>
  </w:num>
  <w:num w:numId="8">
    <w:abstractNumId w:val="15"/>
  </w:num>
  <w:num w:numId="9">
    <w:abstractNumId w:val="17"/>
  </w:num>
  <w:num w:numId="10">
    <w:abstractNumId w:val="29"/>
  </w:num>
  <w:num w:numId="11">
    <w:abstractNumId w:val="27"/>
  </w:num>
  <w:num w:numId="12">
    <w:abstractNumId w:val="11"/>
  </w:num>
  <w:num w:numId="13">
    <w:abstractNumId w:val="37"/>
  </w:num>
  <w:num w:numId="14">
    <w:abstractNumId w:val="4"/>
  </w:num>
  <w:num w:numId="15">
    <w:abstractNumId w:val="19"/>
  </w:num>
  <w:num w:numId="16">
    <w:abstractNumId w:val="14"/>
  </w:num>
  <w:num w:numId="17">
    <w:abstractNumId w:val="38"/>
  </w:num>
  <w:num w:numId="18">
    <w:abstractNumId w:val="10"/>
  </w:num>
  <w:num w:numId="19">
    <w:abstractNumId w:val="24"/>
  </w:num>
  <w:num w:numId="20">
    <w:abstractNumId w:val="3"/>
  </w:num>
  <w:num w:numId="21">
    <w:abstractNumId w:val="3"/>
    <w:lvlOverride w:ilvl="1">
      <w:startOverride w:val="2"/>
    </w:lvlOverride>
  </w:num>
  <w:num w:numId="22">
    <w:abstractNumId w:val="16"/>
  </w:num>
  <w:num w:numId="23">
    <w:abstractNumId w:val="5"/>
  </w:num>
  <w:num w:numId="24">
    <w:abstractNumId w:val="13"/>
  </w:num>
  <w:num w:numId="25">
    <w:abstractNumId w:val="12"/>
  </w:num>
  <w:num w:numId="26">
    <w:abstractNumId w:val="43"/>
  </w:num>
  <w:num w:numId="27">
    <w:abstractNumId w:val="6"/>
  </w:num>
  <w:num w:numId="28">
    <w:abstractNumId w:val="33"/>
  </w:num>
  <w:num w:numId="29">
    <w:abstractNumId w:val="22"/>
  </w:num>
  <w:num w:numId="30">
    <w:abstractNumId w:val="0"/>
  </w:num>
  <w:num w:numId="31">
    <w:abstractNumId w:val="2"/>
  </w:num>
  <w:num w:numId="32">
    <w:abstractNumId w:val="20"/>
  </w:num>
  <w:num w:numId="33">
    <w:abstractNumId w:val="36"/>
  </w:num>
  <w:num w:numId="34">
    <w:abstractNumId w:val="28"/>
  </w:num>
  <w:num w:numId="35">
    <w:abstractNumId w:val="41"/>
  </w:num>
  <w:num w:numId="36">
    <w:abstractNumId w:val="32"/>
  </w:num>
  <w:num w:numId="37">
    <w:abstractNumId w:val="25"/>
  </w:num>
  <w:num w:numId="38">
    <w:abstractNumId w:val="7"/>
  </w:num>
  <w:num w:numId="39">
    <w:abstractNumId w:val="34"/>
  </w:num>
  <w:num w:numId="40">
    <w:abstractNumId w:val="9"/>
  </w:num>
  <w:num w:numId="41">
    <w:abstractNumId w:val="40"/>
  </w:num>
  <w:num w:numId="42">
    <w:abstractNumId w:val="35"/>
  </w:num>
  <w:num w:numId="43">
    <w:abstractNumId w:val="44"/>
  </w:num>
  <w:num w:numId="44">
    <w:abstractNumId w:val="39"/>
  </w:num>
  <w:num w:numId="45">
    <w:abstractNumId w:val="21"/>
  </w:num>
  <w:num w:numId="46">
    <w:abstractNumId w:val="4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C9C"/>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59517</TotalTime>
  <Pages>3</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12075</cp:revision>
  <dcterms:created xsi:type="dcterms:W3CDTF">2024-06-20T08:51:00Z</dcterms:created>
  <dcterms:modified xsi:type="dcterms:W3CDTF">2024-08-23T18:39:00Z</dcterms:modified>
  <cp:category/>
</cp:coreProperties>
</file>