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3DF09" w14:textId="1D8764ED" w:rsidR="00D12CA0" w:rsidRDefault="00725ABE" w:rsidP="00725AB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Степанюк Альона Анатоліївна. Застосування колізійних норм щодо спадкування в міжнародному приватному праві: дисертація канд. юрид. наук: 12.00.03 / Національна юридична академія ім. Ярослава Мудрого. - Х., 2003</w:t>
      </w:r>
    </w:p>
    <w:p w14:paraId="19B3CD2A" w14:textId="77777777" w:rsidR="00725ABE" w:rsidRPr="00725ABE" w:rsidRDefault="00725ABE" w:rsidP="00725A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25ABE">
        <w:rPr>
          <w:rFonts w:ascii="Times New Roman" w:eastAsia="Times New Roman" w:hAnsi="Times New Roman" w:cs="Times New Roman"/>
          <w:color w:val="000000"/>
          <w:sz w:val="27"/>
          <w:szCs w:val="27"/>
        </w:rPr>
        <w:t>Степанюк А.А. Застосування колізійних норм щодо спадкування в міжнародному приватному праві. – Рукопис.</w:t>
      </w:r>
    </w:p>
    <w:p w14:paraId="21D27D0F" w14:textId="77777777" w:rsidR="00725ABE" w:rsidRPr="00725ABE" w:rsidRDefault="00725ABE" w:rsidP="00725A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25AB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12.00.03 – цивільне право і цивільний процес; сімейне право; міжнародне приватне право.</w:t>
      </w:r>
    </w:p>
    <w:p w14:paraId="23145E28" w14:textId="77777777" w:rsidR="00725ABE" w:rsidRPr="00725ABE" w:rsidRDefault="00725ABE" w:rsidP="00725A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25ABE">
        <w:rPr>
          <w:rFonts w:ascii="Times New Roman" w:eastAsia="Times New Roman" w:hAnsi="Times New Roman" w:cs="Times New Roman"/>
          <w:color w:val="000000"/>
          <w:sz w:val="27"/>
          <w:szCs w:val="27"/>
        </w:rPr>
        <w:t>Національна юридична академія України імені Ярослава Мудрого, - Харків, 2003.</w:t>
      </w:r>
    </w:p>
    <w:p w14:paraId="5F6CE8F0" w14:textId="77777777" w:rsidR="00725ABE" w:rsidRPr="00725ABE" w:rsidRDefault="00725ABE" w:rsidP="00725A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25AB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комплексному розгляду колізійних норм спадкового права та правовим засобам вирішення колізійних проблем спадкування. В ній надається розгорнутий аналіз поняття колізій у спадковому праві, колізійних норм спадкового права, видів</w:t>
      </w:r>
    </w:p>
    <w:p w14:paraId="7031392B" w14:textId="77777777" w:rsidR="00725ABE" w:rsidRPr="00725ABE" w:rsidRDefault="00725ABE" w:rsidP="00725A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25ABE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правових колізій спадкування в МПП. Розглядаються правові способи розв’язання колізійних проблем спадкування в МПП, як-то: уніфікація, тлумачення та кваліфікація, зворотне відсилання, застереження про публічний порядок, надімперативні норми, автономія волі й обхід закону, - в аспекті спадкового права на основі доктрини і законодавства понад 50 країн.</w:t>
      </w:r>
    </w:p>
    <w:p w14:paraId="2B6B1BBC" w14:textId="77777777" w:rsidR="00725ABE" w:rsidRPr="00725ABE" w:rsidRDefault="00725ABE" w:rsidP="00725A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25ABE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Результатом дослідження стали теоретичні та практичні пропозиції щодо зміни колізійного регулювання спадкування з іноземним елементом.</w:t>
      </w:r>
    </w:p>
    <w:p w14:paraId="6E37A499" w14:textId="77777777" w:rsidR="00725ABE" w:rsidRPr="00725ABE" w:rsidRDefault="00725ABE" w:rsidP="00725ABE"/>
    <w:sectPr w:rsidR="00725ABE" w:rsidRPr="00725A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1CC49" w14:textId="77777777" w:rsidR="00CC47D4" w:rsidRDefault="00CC47D4">
      <w:pPr>
        <w:spacing w:after="0" w:line="240" w:lineRule="auto"/>
      </w:pPr>
      <w:r>
        <w:separator/>
      </w:r>
    </w:p>
  </w:endnote>
  <w:endnote w:type="continuationSeparator" w:id="0">
    <w:p w14:paraId="2AB81137" w14:textId="77777777" w:rsidR="00CC47D4" w:rsidRDefault="00CC4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4FEA1" w14:textId="77777777" w:rsidR="00CC47D4" w:rsidRDefault="00CC47D4">
      <w:pPr>
        <w:spacing w:after="0" w:line="240" w:lineRule="auto"/>
      </w:pPr>
      <w:r>
        <w:separator/>
      </w:r>
    </w:p>
  </w:footnote>
  <w:footnote w:type="continuationSeparator" w:id="0">
    <w:p w14:paraId="01A08A30" w14:textId="77777777" w:rsidR="00CC47D4" w:rsidRDefault="00CC4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47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45728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9041</cp:revision>
  <dcterms:created xsi:type="dcterms:W3CDTF">2024-06-20T08:51:00Z</dcterms:created>
  <dcterms:modified xsi:type="dcterms:W3CDTF">2024-08-07T13:28:00Z</dcterms:modified>
  <cp:category/>
</cp:coreProperties>
</file>