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F439" w14:textId="77777777" w:rsidR="007C30E7" w:rsidRDefault="007C30E7" w:rsidP="007C30E7">
      <w:pPr>
        <w:pStyle w:val="afffffffffffffffffffffffffff5"/>
        <w:rPr>
          <w:rFonts w:ascii="Verdana" w:hAnsi="Verdana"/>
          <w:color w:val="000000"/>
          <w:sz w:val="21"/>
          <w:szCs w:val="21"/>
        </w:rPr>
      </w:pPr>
      <w:r>
        <w:rPr>
          <w:rFonts w:ascii="Helvetica" w:hAnsi="Helvetica" w:cs="Helvetica"/>
          <w:b/>
          <w:bCs w:val="0"/>
          <w:color w:val="222222"/>
          <w:sz w:val="21"/>
          <w:szCs w:val="21"/>
        </w:rPr>
        <w:t>Бауыржан, Каирбекович Сартаев.</w:t>
      </w:r>
    </w:p>
    <w:p w14:paraId="67A13666" w14:textId="77777777" w:rsidR="007C30E7" w:rsidRDefault="007C30E7" w:rsidP="007C30E7">
      <w:pPr>
        <w:pStyle w:val="20"/>
        <w:spacing w:before="0" w:after="312"/>
        <w:rPr>
          <w:rFonts w:ascii="Arial" w:hAnsi="Arial" w:cs="Arial"/>
          <w:caps/>
          <w:color w:val="333333"/>
          <w:sz w:val="27"/>
          <w:szCs w:val="27"/>
        </w:rPr>
      </w:pPr>
      <w:r>
        <w:rPr>
          <w:rFonts w:ascii="Helvetica" w:hAnsi="Helvetica" w:cs="Helvetica"/>
          <w:caps/>
          <w:color w:val="222222"/>
          <w:sz w:val="21"/>
          <w:szCs w:val="21"/>
        </w:rPr>
        <w:t>Подалгебры дифференциальных алгебр относительно новых умножений = Subalgebras of differential algebras with respect to new multiplications : Subalgebras of differential algebras with respect to new multiplications : диссертация ... кандидата физико-математических наук : 01.01.06 / Бауыржан Каирбекович Сартаев; [Место защиты: ФГАОУ ВО «Новосибирский национальный исследовательский государственный университет» ; Диссовет Совет по защите диссертаций по математическим наукам]. - Новосибирск, 2023. - 94 с.</w:t>
      </w:r>
    </w:p>
    <w:p w14:paraId="2EB0E576" w14:textId="77777777" w:rsidR="007C30E7" w:rsidRDefault="007C30E7" w:rsidP="007C30E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Бауыржан Каирбекович Сартаев</w:t>
      </w:r>
    </w:p>
    <w:p w14:paraId="535FA3C0"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Contents</w:t>
      </w:r>
    </w:p>
    <w:p w14:paraId="1719EC52"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Introduction</w:t>
      </w:r>
    </w:p>
    <w:p w14:paraId="588BCB06"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General description of the work</w:t>
      </w:r>
    </w:p>
    <w:p w14:paraId="05F878BB" w14:textId="77777777" w:rsidR="007C30E7" w:rsidRPr="007C30E7" w:rsidRDefault="007C30E7" w:rsidP="007C30E7">
      <w:pPr>
        <w:pStyle w:val="afffffffffffffffffffffffffff5"/>
        <w:spacing w:before="0" w:beforeAutospacing="0" w:after="312" w:afterAutospacing="0"/>
        <w:rPr>
          <w:rFonts w:ascii="Arial" w:hAnsi="Arial" w:cs="Arial"/>
          <w:color w:val="333333"/>
          <w:sz w:val="21"/>
          <w:szCs w:val="21"/>
          <w:lang w:val="en-US"/>
        </w:rPr>
      </w:pPr>
      <w:r w:rsidRPr="007C30E7">
        <w:rPr>
          <w:rFonts w:ascii="Arial" w:hAnsi="Arial" w:cs="Arial"/>
          <w:color w:val="333333"/>
          <w:sz w:val="21"/>
          <w:szCs w:val="21"/>
          <w:lang w:val="en-US"/>
        </w:rPr>
        <w:t>1.1.1 The goal of research</w:t>
      </w:r>
    </w:p>
    <w:p w14:paraId="283C3F5A" w14:textId="77777777" w:rsidR="007C30E7" w:rsidRPr="007C30E7" w:rsidRDefault="007C30E7" w:rsidP="007C30E7">
      <w:pPr>
        <w:pStyle w:val="afffffffffffffffffffffffffff5"/>
        <w:spacing w:before="0" w:beforeAutospacing="0" w:after="312" w:afterAutospacing="0"/>
        <w:rPr>
          <w:rFonts w:ascii="Arial" w:hAnsi="Arial" w:cs="Arial"/>
          <w:color w:val="333333"/>
          <w:sz w:val="21"/>
          <w:szCs w:val="21"/>
          <w:lang w:val="en-US"/>
        </w:rPr>
      </w:pPr>
      <w:r w:rsidRPr="007C30E7">
        <w:rPr>
          <w:rFonts w:ascii="Arial" w:hAnsi="Arial" w:cs="Arial"/>
          <w:color w:val="333333"/>
          <w:sz w:val="21"/>
          <w:szCs w:val="21"/>
          <w:lang w:val="en-US"/>
        </w:rPr>
        <w:t>1.1.2 General methodology of the research</w:t>
      </w:r>
    </w:p>
    <w:p w14:paraId="2A5739FC" w14:textId="77777777" w:rsidR="007C30E7" w:rsidRPr="007C30E7" w:rsidRDefault="007C30E7" w:rsidP="007C30E7">
      <w:pPr>
        <w:pStyle w:val="afffffffffffffffffffffffffff5"/>
        <w:spacing w:before="0" w:beforeAutospacing="0" w:after="312" w:afterAutospacing="0"/>
        <w:rPr>
          <w:rFonts w:ascii="Arial" w:hAnsi="Arial" w:cs="Arial"/>
          <w:color w:val="333333"/>
          <w:sz w:val="21"/>
          <w:szCs w:val="21"/>
          <w:lang w:val="en-US"/>
        </w:rPr>
      </w:pPr>
      <w:r w:rsidRPr="007C30E7">
        <w:rPr>
          <w:rFonts w:ascii="Arial" w:hAnsi="Arial" w:cs="Arial"/>
          <w:color w:val="333333"/>
          <w:sz w:val="21"/>
          <w:szCs w:val="21"/>
          <w:lang w:val="en-US"/>
        </w:rPr>
        <w:t>1.1.3 Scientific novelty</w:t>
      </w:r>
    </w:p>
    <w:p w14:paraId="6F584DAA" w14:textId="77777777" w:rsidR="007C30E7" w:rsidRPr="007C30E7" w:rsidRDefault="007C30E7" w:rsidP="007C30E7">
      <w:pPr>
        <w:pStyle w:val="afffffffffffffffffffffffffff5"/>
        <w:spacing w:before="0" w:beforeAutospacing="0" w:after="312" w:afterAutospacing="0"/>
        <w:rPr>
          <w:rFonts w:ascii="Arial" w:hAnsi="Arial" w:cs="Arial"/>
          <w:color w:val="333333"/>
          <w:sz w:val="21"/>
          <w:szCs w:val="21"/>
          <w:lang w:val="en-US"/>
        </w:rPr>
      </w:pPr>
      <w:r w:rsidRPr="007C30E7">
        <w:rPr>
          <w:rFonts w:ascii="Arial" w:hAnsi="Arial" w:cs="Arial"/>
          <w:color w:val="333333"/>
          <w:sz w:val="21"/>
          <w:szCs w:val="21"/>
          <w:lang w:val="en-US"/>
        </w:rPr>
        <w:t>1.1.4 Theoretical and practical significance</w:t>
      </w:r>
    </w:p>
    <w:p w14:paraId="29A859C9" w14:textId="77777777" w:rsidR="007C30E7" w:rsidRPr="007C30E7" w:rsidRDefault="007C30E7" w:rsidP="007C30E7">
      <w:pPr>
        <w:pStyle w:val="afffffffffffffffffffffffffff5"/>
        <w:spacing w:before="0" w:beforeAutospacing="0" w:after="312" w:afterAutospacing="0"/>
        <w:rPr>
          <w:rFonts w:ascii="Arial" w:hAnsi="Arial" w:cs="Arial"/>
          <w:color w:val="333333"/>
          <w:sz w:val="21"/>
          <w:szCs w:val="21"/>
          <w:lang w:val="en-US"/>
        </w:rPr>
      </w:pPr>
      <w:r w:rsidRPr="007C30E7">
        <w:rPr>
          <w:rFonts w:ascii="Arial" w:hAnsi="Arial" w:cs="Arial"/>
          <w:color w:val="333333"/>
          <w:sz w:val="21"/>
          <w:szCs w:val="21"/>
          <w:lang w:val="en-US"/>
        </w:rPr>
        <w:t>1.1.5 Publications</w:t>
      </w:r>
    </w:p>
    <w:p w14:paraId="3A894491" w14:textId="77777777" w:rsidR="007C30E7" w:rsidRPr="007C30E7" w:rsidRDefault="007C30E7" w:rsidP="007C30E7">
      <w:pPr>
        <w:pStyle w:val="afffffffffffffffffffffffffff5"/>
        <w:spacing w:before="0" w:beforeAutospacing="0" w:after="312" w:afterAutospacing="0"/>
        <w:rPr>
          <w:rFonts w:ascii="Arial" w:hAnsi="Arial" w:cs="Arial"/>
          <w:color w:val="333333"/>
          <w:sz w:val="21"/>
          <w:szCs w:val="21"/>
          <w:lang w:val="en-US"/>
        </w:rPr>
      </w:pPr>
      <w:r w:rsidRPr="007C30E7">
        <w:rPr>
          <w:rFonts w:ascii="Arial" w:hAnsi="Arial" w:cs="Arial"/>
          <w:color w:val="333333"/>
          <w:sz w:val="21"/>
          <w:szCs w:val="21"/>
          <w:lang w:val="en-US"/>
        </w:rPr>
        <w:t>1.1.6 The structure and scope of the thesis</w:t>
      </w:r>
    </w:p>
    <w:p w14:paraId="3F1852A1"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1.1.7 Acknowledgements</w:t>
      </w:r>
    </w:p>
    <w:p w14:paraId="2326D02B"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Differential Poisson algebras</w:t>
      </w:r>
    </w:p>
    <w:p w14:paraId="230CC7C2"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Preliminaries on the special GD-algebras</w:t>
      </w:r>
    </w:p>
    <w:p w14:paraId="3C58118D"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Special GD-algerbas</w:t>
      </w:r>
    </w:p>
    <w:p w14:paraId="19A63148"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Special identities of GD-algebras</w:t>
      </w:r>
    </w:p>
    <w:p w14:paraId="17BD4F94"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On the Grobner basis of the Gelfand-Dorfman operad with special identities</w:t>
      </w:r>
    </w:p>
    <w:p w14:paraId="54A2B1FD"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Differential associative algebras</w:t>
      </w:r>
    </w:p>
    <w:p w14:paraId="00930CDB"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Preliminaries on the Novikov and noncommutative Novikov algebras</w:t>
      </w:r>
    </w:p>
    <w:p w14:paraId="2460EE26"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Basic notions on the differential associative algebra</w:t>
      </w:r>
    </w:p>
    <w:p w14:paraId="359CF150"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Free noncommutative Novikov algebra</w:t>
      </w:r>
    </w:p>
    <w:p w14:paraId="60E2504E"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Embedding into differential algebras</w:t>
      </w:r>
    </w:p>
    <w:p w14:paraId="652FB85E"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Alternative proof of Theorem</w:t>
      </w:r>
    </w:p>
    <w:p w14:paraId="72C0EDE6"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Differential perm algebras</w:t>
      </w:r>
    </w:p>
    <w:p w14:paraId="6E738524"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Preliminaries on the left symmetric algebras</w:t>
      </w:r>
    </w:p>
    <w:p w14:paraId="60C7A831"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Novikov dialgebras and differential perm algebras</w:t>
      </w:r>
    </w:p>
    <w:p w14:paraId="668C5237"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Universal enveloping left-symmetric dialgebras</w:t>
      </w:r>
    </w:p>
    <w:p w14:paraId="303AEFD5"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A linear basis of the free SLS-algebra</w:t>
      </w:r>
    </w:p>
    <w:p w14:paraId="600F8EC6"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A criterion of speciality</w:t>
      </w:r>
    </w:p>
    <w:p w14:paraId="4FE53E4F"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Perm algebras under commutator and anti-commutator</w:t>
      </w:r>
    </w:p>
    <w:p w14:paraId="28944A9F"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On the commutator and anti-commutator</w:t>
      </w:r>
    </w:p>
    <w:p w14:paraId="5BFF7B25"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The results on the commutator and anti-commutator of perm algebra</w:t>
      </w:r>
    </w:p>
    <w:p w14:paraId="73241BEC"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Proof of theorems</w:t>
      </w:r>
    </w:p>
    <w:p w14:paraId="4B5012A3"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Proof of Theorem</w:t>
      </w:r>
    </w:p>
    <w:p w14:paraId="59E7D240"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Proof of Theorem</w:t>
      </w:r>
    </w:p>
    <w:p w14:paraId="2D79D5B1"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Proof of Theorem</w:t>
      </w:r>
    </w:p>
    <w:p w14:paraId="3607A51E"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Proof of Theorem</w:t>
      </w:r>
    </w:p>
    <w:p w14:paraId="5E56441E"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5.3.5 Proof of Theorem</w:t>
      </w:r>
    </w:p>
    <w:p w14:paraId="2E801308"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5.3.6 Proof of Theorem</w:t>
      </w:r>
    </w:p>
    <w:p w14:paraId="0266F579"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The basis of universal enveloping perm algebras for metabelian Lie algebras</w:t>
      </w:r>
    </w:p>
    <w:p w14:paraId="42E3D516"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 Proof of Theorem</w:t>
      </w:r>
    </w:p>
    <w:p w14:paraId="39727454" w14:textId="77777777" w:rsidR="007C30E7" w:rsidRDefault="007C30E7" w:rsidP="007C3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Conclusion</w:t>
      </w:r>
    </w:p>
    <w:p w14:paraId="4FDAD129" w14:textId="4D25DA4B" w:rsidR="00BD642D" w:rsidRPr="007C30E7" w:rsidRDefault="00BD642D" w:rsidP="007C30E7"/>
    <w:sectPr w:rsidR="00BD642D" w:rsidRPr="007C30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532B" w14:textId="77777777" w:rsidR="00A879F4" w:rsidRDefault="00A879F4">
      <w:pPr>
        <w:spacing w:after="0" w:line="240" w:lineRule="auto"/>
      </w:pPr>
      <w:r>
        <w:separator/>
      </w:r>
    </w:p>
  </w:endnote>
  <w:endnote w:type="continuationSeparator" w:id="0">
    <w:p w14:paraId="2177F4F2" w14:textId="77777777" w:rsidR="00A879F4" w:rsidRDefault="00A8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D916" w14:textId="77777777" w:rsidR="00A879F4" w:rsidRDefault="00A879F4"/>
    <w:p w14:paraId="3AA5FAC2" w14:textId="77777777" w:rsidR="00A879F4" w:rsidRDefault="00A879F4"/>
    <w:p w14:paraId="0C91AF2F" w14:textId="77777777" w:rsidR="00A879F4" w:rsidRDefault="00A879F4"/>
    <w:p w14:paraId="4BFA5539" w14:textId="77777777" w:rsidR="00A879F4" w:rsidRDefault="00A879F4"/>
    <w:p w14:paraId="5DA4398E" w14:textId="77777777" w:rsidR="00A879F4" w:rsidRDefault="00A879F4"/>
    <w:p w14:paraId="0040F23A" w14:textId="77777777" w:rsidR="00A879F4" w:rsidRDefault="00A879F4"/>
    <w:p w14:paraId="5699554A" w14:textId="77777777" w:rsidR="00A879F4" w:rsidRDefault="00A879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A311CD" wp14:editId="47EECC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C411E" w14:textId="77777777" w:rsidR="00A879F4" w:rsidRDefault="00A879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A311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EC411E" w14:textId="77777777" w:rsidR="00A879F4" w:rsidRDefault="00A879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69D6E4" w14:textId="77777777" w:rsidR="00A879F4" w:rsidRDefault="00A879F4"/>
    <w:p w14:paraId="1E65DD58" w14:textId="77777777" w:rsidR="00A879F4" w:rsidRDefault="00A879F4"/>
    <w:p w14:paraId="44E93DC1" w14:textId="77777777" w:rsidR="00A879F4" w:rsidRDefault="00A879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395A33" wp14:editId="46461A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711AD" w14:textId="77777777" w:rsidR="00A879F4" w:rsidRDefault="00A879F4"/>
                          <w:p w14:paraId="6D2DE6A6" w14:textId="77777777" w:rsidR="00A879F4" w:rsidRDefault="00A879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395A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B711AD" w14:textId="77777777" w:rsidR="00A879F4" w:rsidRDefault="00A879F4"/>
                    <w:p w14:paraId="6D2DE6A6" w14:textId="77777777" w:rsidR="00A879F4" w:rsidRDefault="00A879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F2E536" w14:textId="77777777" w:rsidR="00A879F4" w:rsidRDefault="00A879F4"/>
    <w:p w14:paraId="7B50291F" w14:textId="77777777" w:rsidR="00A879F4" w:rsidRDefault="00A879F4">
      <w:pPr>
        <w:rPr>
          <w:sz w:val="2"/>
          <w:szCs w:val="2"/>
        </w:rPr>
      </w:pPr>
    </w:p>
    <w:p w14:paraId="4D4688AA" w14:textId="77777777" w:rsidR="00A879F4" w:rsidRDefault="00A879F4"/>
    <w:p w14:paraId="25F5CC15" w14:textId="77777777" w:rsidR="00A879F4" w:rsidRDefault="00A879F4">
      <w:pPr>
        <w:spacing w:after="0" w:line="240" w:lineRule="auto"/>
      </w:pPr>
    </w:p>
  </w:footnote>
  <w:footnote w:type="continuationSeparator" w:id="0">
    <w:p w14:paraId="3190CC2B" w14:textId="77777777" w:rsidR="00A879F4" w:rsidRDefault="00A87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9F4"/>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97001</TotalTime>
  <Pages>3</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626</cp:revision>
  <cp:lastPrinted>2009-02-06T05:36:00Z</cp:lastPrinted>
  <dcterms:created xsi:type="dcterms:W3CDTF">2024-01-07T13:43:00Z</dcterms:created>
  <dcterms:modified xsi:type="dcterms:W3CDTF">2025-05-20T17:32:00Z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