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8EF5E" w14:textId="0801BA51" w:rsidR="004945B8" w:rsidRDefault="00AE05EF" w:rsidP="00AE05E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Ієрусалімова Ірина Олександрівна. Механізм адміністративно-правового забезпечення прав і свобод людини та громадянина: дис... канд. юрид. наук: 12.00.07 / Інститут законодавства Верховної Ради України. — К., 2006</w:t>
      </w:r>
    </w:p>
    <w:p w14:paraId="3D62015F" w14:textId="77777777" w:rsidR="00AE05EF" w:rsidRPr="00AE05EF" w:rsidRDefault="00AE05EF" w:rsidP="00AE05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05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Ієрусалімова І.О. Механізм адміністративно-правового забезпечення прав і свобод людини та громадянина. – Рукопис.</w:t>
      </w:r>
    </w:p>
    <w:p w14:paraId="73DB63EA" w14:textId="77777777" w:rsidR="00AE05EF" w:rsidRPr="00AE05EF" w:rsidRDefault="00AE05EF" w:rsidP="00AE05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05E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12.00.07 – теорія управління; адміністративне право і процес; фінансове право; інформаційне право. – Інститут законодавства Верховної Ради України.- Київ, 2006.</w:t>
      </w:r>
    </w:p>
    <w:p w14:paraId="4294F002" w14:textId="77777777" w:rsidR="00AE05EF" w:rsidRPr="00AE05EF" w:rsidRDefault="00AE05EF" w:rsidP="00AE05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05E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дослідженню механізму адміністративно-правового забезпечення прав і свобод людини та громадянина. В роботі надано характеристику адміністративно-правовому статусу громадянина. Здійснена класифікація прав і свобод громадян у сфері адміністративно-правових відносин.</w:t>
      </w:r>
    </w:p>
    <w:p w14:paraId="66C85B0F" w14:textId="77777777" w:rsidR="00AE05EF" w:rsidRPr="00AE05EF" w:rsidRDefault="00AE05EF" w:rsidP="00AE05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05EF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Запропоновані авторські визначення поняття механізму адміністративно-правового забезпечення прав і свобод людини та громадянина. Показані організаційні засоби в системі адміністративно-правового забезпечення прав і свобод людини та громадянина.</w:t>
      </w:r>
    </w:p>
    <w:p w14:paraId="2F5A4297" w14:textId="77777777" w:rsidR="00AE05EF" w:rsidRPr="00AE05EF" w:rsidRDefault="00AE05EF" w:rsidP="00AE05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05EF">
        <w:rPr>
          <w:rFonts w:ascii="Times New Roman" w:eastAsia="Times New Roman" w:hAnsi="Times New Roman" w:cs="Times New Roman"/>
          <w:color w:val="000000"/>
          <w:sz w:val="27"/>
          <w:szCs w:val="27"/>
        </w:rPr>
        <w:t>Обгрунтовано та сформульовано пропозиції щодо повноти правового регулювання суспільних відносин з реалізації прав і свобод громадян, особлива увага надана питанням забезпечення їх державними, соціальними і управлінськими послугами. Проаналізовані правові гарантії, їх роль в механізмі адміністративно-правового забезпечення прав і свобод людини та громадянина.</w:t>
      </w:r>
    </w:p>
    <w:p w14:paraId="455562FB" w14:textId="77777777" w:rsidR="00AE05EF" w:rsidRPr="00AE05EF" w:rsidRDefault="00AE05EF" w:rsidP="00AE05EF"/>
    <w:sectPr w:rsidR="00AE05EF" w:rsidRPr="00AE05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1B90B" w14:textId="77777777" w:rsidR="002E0D90" w:rsidRDefault="002E0D90">
      <w:pPr>
        <w:spacing w:after="0" w:line="240" w:lineRule="auto"/>
      </w:pPr>
      <w:r>
        <w:separator/>
      </w:r>
    </w:p>
  </w:endnote>
  <w:endnote w:type="continuationSeparator" w:id="0">
    <w:p w14:paraId="4A3E9E52" w14:textId="77777777" w:rsidR="002E0D90" w:rsidRDefault="002E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4FDA8" w14:textId="77777777" w:rsidR="002E0D90" w:rsidRDefault="002E0D90">
      <w:pPr>
        <w:spacing w:after="0" w:line="240" w:lineRule="auto"/>
      </w:pPr>
      <w:r>
        <w:separator/>
      </w:r>
    </w:p>
  </w:footnote>
  <w:footnote w:type="continuationSeparator" w:id="0">
    <w:p w14:paraId="44F2D48B" w14:textId="77777777" w:rsidR="002E0D90" w:rsidRDefault="002E0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0D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27"/>
  </w:num>
  <w:num w:numId="4">
    <w:abstractNumId w:val="21"/>
  </w:num>
  <w:num w:numId="5">
    <w:abstractNumId w:val="25"/>
  </w:num>
  <w:num w:numId="6">
    <w:abstractNumId w:val="12"/>
  </w:num>
  <w:num w:numId="7">
    <w:abstractNumId w:val="17"/>
  </w:num>
  <w:num w:numId="8">
    <w:abstractNumId w:val="24"/>
  </w:num>
  <w:num w:numId="9">
    <w:abstractNumId w:val="4"/>
  </w:num>
  <w:num w:numId="10">
    <w:abstractNumId w:val="10"/>
  </w:num>
  <w:num w:numId="11">
    <w:abstractNumId w:val="0"/>
  </w:num>
  <w:num w:numId="12">
    <w:abstractNumId w:val="28"/>
  </w:num>
  <w:num w:numId="13">
    <w:abstractNumId w:val="15"/>
  </w:num>
  <w:num w:numId="14">
    <w:abstractNumId w:val="8"/>
  </w:num>
  <w:num w:numId="15">
    <w:abstractNumId w:val="20"/>
  </w:num>
  <w:num w:numId="16">
    <w:abstractNumId w:val="9"/>
  </w:num>
  <w:num w:numId="17">
    <w:abstractNumId w:val="22"/>
  </w:num>
  <w:num w:numId="18">
    <w:abstractNumId w:val="7"/>
  </w:num>
  <w:num w:numId="19">
    <w:abstractNumId w:val="3"/>
  </w:num>
  <w:num w:numId="20">
    <w:abstractNumId w:val="5"/>
  </w:num>
  <w:num w:numId="21">
    <w:abstractNumId w:val="2"/>
  </w:num>
  <w:num w:numId="22">
    <w:abstractNumId w:val="18"/>
  </w:num>
  <w:num w:numId="23">
    <w:abstractNumId w:val="23"/>
  </w:num>
  <w:num w:numId="24">
    <w:abstractNumId w:val="19"/>
  </w:num>
  <w:num w:numId="25">
    <w:abstractNumId w:val="26"/>
  </w:num>
  <w:num w:numId="26">
    <w:abstractNumId w:val="14"/>
  </w:num>
  <w:num w:numId="27">
    <w:abstractNumId w:val="16"/>
  </w:num>
  <w:num w:numId="28">
    <w:abstractNumId w:val="6"/>
  </w:num>
  <w:num w:numId="29">
    <w:abstractNumId w:val="1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0D90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35015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7358</cp:revision>
  <dcterms:created xsi:type="dcterms:W3CDTF">2024-06-20T08:51:00Z</dcterms:created>
  <dcterms:modified xsi:type="dcterms:W3CDTF">2024-07-26T16:40:00Z</dcterms:modified>
  <cp:category/>
</cp:coreProperties>
</file>