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64D7" w14:textId="77777777" w:rsidR="00003F64" w:rsidRDefault="00003F64" w:rsidP="00003F64">
      <w:pPr>
        <w:pStyle w:val="210"/>
        <w:shd w:val="clear" w:color="auto" w:fill="auto"/>
        <w:ind w:left="20" w:firstLine="0"/>
      </w:pPr>
      <w:r>
        <w:rPr>
          <w:rStyle w:val="21"/>
          <w:color w:val="000000"/>
        </w:rPr>
        <w:t>Федеральное государственное</w:t>
      </w:r>
    </w:p>
    <w:p w14:paraId="33508903" w14:textId="77777777" w:rsidR="00003F64" w:rsidRDefault="00003F64" w:rsidP="00003F64">
      <w:pPr>
        <w:pStyle w:val="210"/>
        <w:shd w:val="clear" w:color="auto" w:fill="auto"/>
        <w:spacing w:after="1060"/>
        <w:ind w:left="20" w:firstLine="0"/>
      </w:pPr>
      <w:r>
        <w:rPr>
          <w:rStyle w:val="21"/>
          <w:color w:val="000000"/>
        </w:rPr>
        <w:t>бюджетное образовательное учреждение высшего образования</w:t>
      </w:r>
      <w:r>
        <w:rPr>
          <w:rStyle w:val="21"/>
          <w:color w:val="000000"/>
        </w:rPr>
        <w:br/>
        <w:t>«Уральский государственный юридический университет»</w:t>
      </w:r>
    </w:p>
    <w:p w14:paraId="33A50A23" w14:textId="77777777" w:rsidR="00003F64" w:rsidRDefault="00003F64" w:rsidP="00003F64">
      <w:pPr>
        <w:pStyle w:val="30"/>
        <w:shd w:val="clear" w:color="auto" w:fill="auto"/>
        <w:spacing w:before="0" w:after="1592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5D82B695" w14:textId="77777777" w:rsidR="00003F64" w:rsidRDefault="00003F64" w:rsidP="00003F64">
      <w:pPr>
        <w:pStyle w:val="15"/>
        <w:keepNext/>
        <w:keepLines/>
        <w:shd w:val="clear" w:color="auto" w:fill="auto"/>
        <w:spacing w:after="477" w:line="280" w:lineRule="exact"/>
        <w:ind w:left="20"/>
      </w:pPr>
      <w:bookmarkStart w:id="0" w:name="bookmark0"/>
      <w:r>
        <w:rPr>
          <w:rStyle w:val="14"/>
          <w:b/>
          <w:bCs/>
          <w:color w:val="000000"/>
        </w:rPr>
        <w:t>Брановицкий Константин Леонидович</w:t>
      </w:r>
      <w:bookmarkEnd w:id="0"/>
    </w:p>
    <w:p w14:paraId="7AA3521C" w14:textId="77777777" w:rsidR="00003F64" w:rsidRDefault="00003F64" w:rsidP="00003F64">
      <w:pPr>
        <w:pStyle w:val="15"/>
        <w:keepNext/>
        <w:keepLines/>
        <w:shd w:val="clear" w:color="auto" w:fill="auto"/>
        <w:spacing w:after="0" w:line="480" w:lineRule="exact"/>
        <w:ind w:left="20"/>
      </w:pPr>
      <w:bookmarkStart w:id="1" w:name="bookmark1"/>
      <w:r>
        <w:rPr>
          <w:rStyle w:val="14"/>
          <w:b/>
          <w:bCs/>
          <w:color w:val="000000"/>
        </w:rPr>
        <w:t>СБЛИЖЕНИЕ ГРАЖДАНСКОГО ПРОЦЕССУАЛЬНОГО ПРАВА</w:t>
      </w:r>
      <w:bookmarkEnd w:id="1"/>
    </w:p>
    <w:p w14:paraId="6691F029" w14:textId="77777777" w:rsidR="00003F64" w:rsidRDefault="00003F64" w:rsidP="00003F64">
      <w:pPr>
        <w:pStyle w:val="42"/>
        <w:shd w:val="clear" w:color="auto" w:fill="auto"/>
        <w:spacing w:after="543"/>
        <w:ind w:left="20"/>
      </w:pPr>
      <w:r>
        <w:rPr>
          <w:rStyle w:val="41"/>
          <w:b/>
          <w:bCs/>
          <w:color w:val="000000"/>
        </w:rPr>
        <w:t>В ЕВРОПЕЙСКОМ СОЮЗЕ</w:t>
      </w:r>
      <w:r>
        <w:rPr>
          <w:rStyle w:val="41"/>
          <w:b/>
          <w:bCs/>
          <w:color w:val="000000"/>
        </w:rPr>
        <w:br/>
        <w:t>И НА ПОСТСОВЕТСКОМ ПРОСТРАНСТВЕ</w:t>
      </w:r>
      <w:r>
        <w:rPr>
          <w:rStyle w:val="41"/>
          <w:b/>
          <w:bCs/>
          <w:color w:val="000000"/>
        </w:rPr>
        <w:br/>
        <w:t>(СРАВНИТЕЛЬНО-ПРАВОВОЙ АСПЕКТ)</w:t>
      </w:r>
    </w:p>
    <w:p w14:paraId="07B735A1" w14:textId="77777777" w:rsidR="00003F64" w:rsidRDefault="00003F64" w:rsidP="00003F64">
      <w:pPr>
        <w:pStyle w:val="210"/>
        <w:shd w:val="clear" w:color="auto" w:fill="auto"/>
        <w:spacing w:after="1268" w:line="326" w:lineRule="exact"/>
        <w:ind w:left="20" w:firstLine="0"/>
      </w:pPr>
      <w:r>
        <w:rPr>
          <w:rStyle w:val="21"/>
          <w:color w:val="000000"/>
        </w:rPr>
        <w:t>Специальность 12.00.15 - Гражданский процесс,</w:t>
      </w:r>
      <w:r>
        <w:rPr>
          <w:rStyle w:val="21"/>
          <w:color w:val="000000"/>
        </w:rPr>
        <w:br/>
        <w:t>арбитражный процесс</w:t>
      </w:r>
    </w:p>
    <w:p w14:paraId="1A912813" w14:textId="77777777" w:rsidR="00003F64" w:rsidRDefault="00003F64" w:rsidP="00003F64">
      <w:pPr>
        <w:pStyle w:val="210"/>
        <w:shd w:val="clear" w:color="auto" w:fill="auto"/>
        <w:spacing w:line="317" w:lineRule="exact"/>
        <w:ind w:left="20" w:firstLine="0"/>
      </w:pPr>
      <w:r>
        <w:rPr>
          <w:rStyle w:val="21"/>
          <w:color w:val="000000"/>
        </w:rPr>
        <w:t>Диссертация</w:t>
      </w:r>
    </w:p>
    <w:p w14:paraId="4DBB186C" w14:textId="77777777" w:rsidR="00003F64" w:rsidRDefault="00003F64" w:rsidP="00003F64">
      <w:pPr>
        <w:pStyle w:val="210"/>
        <w:shd w:val="clear" w:color="auto" w:fill="auto"/>
        <w:spacing w:after="1373" w:line="317" w:lineRule="exact"/>
        <w:ind w:left="2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доктора юридических наук</w:t>
      </w:r>
    </w:p>
    <w:p w14:paraId="1DA4D7EE" w14:textId="77777777" w:rsidR="00003F64" w:rsidRDefault="00003F64" w:rsidP="00003F64">
      <w:pPr>
        <w:pStyle w:val="210"/>
        <w:shd w:val="clear" w:color="auto" w:fill="auto"/>
        <w:spacing w:after="937" w:line="326" w:lineRule="exact"/>
        <w:ind w:left="5960" w:firstLine="0"/>
        <w:jc w:val="right"/>
      </w:pPr>
      <w:r>
        <w:rPr>
          <w:rStyle w:val="21"/>
          <w:color w:val="000000"/>
        </w:rPr>
        <w:lastRenderedPageBreak/>
        <w:t>Научный консультант: доктор юридических наук, профессор В.В. Ярков</w:t>
      </w:r>
    </w:p>
    <w:p w14:paraId="57FC8021" w14:textId="77777777" w:rsidR="00003F64" w:rsidRDefault="00003F64" w:rsidP="00003F64">
      <w:pPr>
        <w:pStyle w:val="210"/>
        <w:shd w:val="clear" w:color="auto" w:fill="auto"/>
        <w:spacing w:line="280" w:lineRule="exact"/>
        <w:ind w:left="20" w:firstLine="0"/>
      </w:pPr>
      <w:r>
        <w:rPr>
          <w:rStyle w:val="21"/>
          <w:color w:val="000000"/>
        </w:rPr>
        <w:t>Екатеринбург-2018</w:t>
      </w:r>
      <w:r>
        <w:br w:type="page"/>
      </w:r>
    </w:p>
    <w:p w14:paraId="0CCC5473" w14:textId="77777777" w:rsidR="00003F64" w:rsidRDefault="00003F64" w:rsidP="00003F64">
      <w:pPr>
        <w:pStyle w:val="42"/>
        <w:shd w:val="clear" w:color="auto" w:fill="auto"/>
        <w:spacing w:after="622" w:line="280" w:lineRule="exact"/>
        <w:ind w:left="40"/>
      </w:pPr>
      <w:r>
        <w:rPr>
          <w:rStyle w:val="41"/>
          <w:b/>
          <w:bCs/>
          <w:color w:val="000000"/>
        </w:rPr>
        <w:lastRenderedPageBreak/>
        <w:t>ОГЛАВЛЕНИЕ</w:t>
      </w:r>
    </w:p>
    <w:p w14:paraId="15D066D1" w14:textId="77777777" w:rsidR="00003F64" w:rsidRDefault="00003F64" w:rsidP="00003F64">
      <w:pPr>
        <w:pStyle w:val="17"/>
        <w:tabs>
          <w:tab w:val="right" w:leader="dot" w:pos="9591"/>
        </w:tabs>
        <w:spacing w:after="112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19"/>
            <w:b/>
            <w:bCs/>
            <w:color w:val="000000"/>
          </w:rPr>
          <w:t>ВВЕДЕ</w:t>
        </w:r>
        <w:r>
          <w:rPr>
            <w:b/>
            <w:bCs/>
            <w:color w:val="000000"/>
          </w:rPr>
          <w:t>НИ</w:t>
        </w:r>
        <w:r>
          <w:rPr>
            <w:rStyle w:val="19"/>
            <w:b/>
            <w:bCs/>
            <w:color w:val="000000"/>
          </w:rPr>
          <w:t>Е</w:t>
        </w:r>
        <w:r>
          <w:rPr>
            <w:rStyle w:val="19"/>
            <w:b/>
            <w:bCs/>
            <w:color w:val="000000"/>
          </w:rPr>
          <w:tab/>
          <w:t>3</w:t>
        </w:r>
      </w:hyperlink>
    </w:p>
    <w:p w14:paraId="77052BC0" w14:textId="77777777" w:rsidR="00003F64" w:rsidRDefault="00003F64" w:rsidP="00003F64">
      <w:pPr>
        <w:pStyle w:val="17"/>
        <w:spacing w:after="0" w:line="480" w:lineRule="exact"/>
      </w:pPr>
      <w:r>
        <w:rPr>
          <w:rStyle w:val="19"/>
          <w:b/>
          <w:bCs/>
          <w:color w:val="000000"/>
        </w:rPr>
        <w:t>Глава 1. ПОНЯТИЕ И ПРАВОВЫЕ ИНСТРУМЕНТЫ</w:t>
      </w:r>
    </w:p>
    <w:p w14:paraId="1C6C5E10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</w:pPr>
      <w:r>
        <w:rPr>
          <w:rStyle w:val="19"/>
          <w:b/>
          <w:bCs/>
          <w:color w:val="000000"/>
        </w:rPr>
        <w:t>СБЛИЖЕНИЯ ПРАВА</w:t>
      </w:r>
      <w:r>
        <w:rPr>
          <w:rStyle w:val="19"/>
          <w:b/>
          <w:bCs/>
          <w:color w:val="000000"/>
        </w:rPr>
        <w:tab/>
        <w:t>19</w:t>
      </w:r>
    </w:p>
    <w:p w14:paraId="0461424A" w14:textId="77777777" w:rsidR="00003F64" w:rsidRDefault="00003F64" w:rsidP="00003F64">
      <w:pPr>
        <w:pStyle w:val="17"/>
        <w:spacing w:after="0" w:line="480" w:lineRule="exact"/>
        <w:ind w:left="460"/>
      </w:pPr>
      <w:r>
        <w:rPr>
          <w:rStyle w:val="19"/>
          <w:b/>
          <w:bCs/>
          <w:color w:val="000000"/>
        </w:rPr>
        <w:t>§ 1. Определение понятий. Сближение, гармонизация,</w:t>
      </w:r>
    </w:p>
    <w:p w14:paraId="2238C662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  <w:ind w:left="460"/>
      </w:pPr>
      <w:r>
        <w:rPr>
          <w:rStyle w:val="19"/>
          <w:b/>
          <w:bCs/>
          <w:color w:val="000000"/>
        </w:rPr>
        <w:t>унификация</w:t>
      </w:r>
      <w:r>
        <w:rPr>
          <w:rStyle w:val="19"/>
          <w:b/>
          <w:bCs/>
          <w:color w:val="000000"/>
        </w:rPr>
        <w:tab/>
        <w:t>19</w:t>
      </w:r>
    </w:p>
    <w:p w14:paraId="771F6B99" w14:textId="77777777" w:rsidR="00003F64" w:rsidRDefault="00003F64" w:rsidP="00003F64">
      <w:pPr>
        <w:pStyle w:val="17"/>
        <w:tabs>
          <w:tab w:val="right" w:leader="dot" w:pos="9591"/>
        </w:tabs>
        <w:spacing w:after="60" w:line="480" w:lineRule="exact"/>
        <w:ind w:left="460"/>
      </w:pPr>
      <w:hyperlink w:anchor="bookmark5" w:tooltip="Current Document" w:history="1">
        <w:r>
          <w:rPr>
            <w:rStyle w:val="19"/>
            <w:b/>
            <w:bCs/>
            <w:color w:val="000000"/>
          </w:rPr>
          <w:t>§ 2. Правовые инструменты сближения права</w:t>
        </w:r>
        <w:r>
          <w:rPr>
            <w:rStyle w:val="19"/>
            <w:b/>
            <w:bCs/>
            <w:color w:val="000000"/>
          </w:rPr>
          <w:tab/>
          <w:t>56</w:t>
        </w:r>
      </w:hyperlink>
    </w:p>
    <w:p w14:paraId="0B6FD029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</w:pPr>
      <w:r>
        <w:rPr>
          <w:rStyle w:val="19"/>
          <w:b/>
          <w:bCs/>
          <w:color w:val="000000"/>
        </w:rPr>
        <w:t>Глава 2. РАЗВИТИЕ И СБЛИЖЕНИЕ ГРАЖДАНСКОГО ПРОЦЕССУАЛЬНОГО ПРАВА В ЕВРОПЕЙСКОМ СОЮЗЕ (ЕС)</w:t>
      </w:r>
      <w:r>
        <w:rPr>
          <w:rStyle w:val="19"/>
          <w:b/>
          <w:bCs/>
          <w:color w:val="000000"/>
        </w:rPr>
        <w:tab/>
        <w:t>98</w:t>
      </w:r>
    </w:p>
    <w:p w14:paraId="5B9166DF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  <w:ind w:left="460"/>
      </w:pPr>
      <w:hyperlink w:anchor="bookmark7" w:tooltip="Current Document" w:history="1">
        <w:r>
          <w:rPr>
            <w:rStyle w:val="19"/>
            <w:b/>
            <w:bCs/>
            <w:color w:val="000000"/>
          </w:rPr>
          <w:t>§ 1. Исторические предпосылки сближения права</w:t>
        </w:r>
        <w:r>
          <w:rPr>
            <w:rStyle w:val="19"/>
            <w:b/>
            <w:bCs/>
            <w:color w:val="000000"/>
          </w:rPr>
          <w:tab/>
          <w:t>98</w:t>
        </w:r>
      </w:hyperlink>
    </w:p>
    <w:p w14:paraId="742458C4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  <w:ind w:left="460"/>
      </w:pPr>
      <w:hyperlink w:anchor="bookmark8" w:tooltip="Current Document" w:history="1">
        <w:r>
          <w:rPr>
            <w:rStyle w:val="19"/>
            <w:b/>
            <w:bCs/>
            <w:color w:val="000000"/>
          </w:rPr>
          <w:t>§ 2. Процесс сближения гражданского процессуального права</w:t>
        </w:r>
        <w:r>
          <w:rPr>
            <w:rStyle w:val="19"/>
            <w:b/>
            <w:bCs/>
            <w:color w:val="000000"/>
          </w:rPr>
          <w:tab/>
          <w:t>110</w:t>
        </w:r>
      </w:hyperlink>
    </w:p>
    <w:p w14:paraId="316E5CA7" w14:textId="77777777" w:rsidR="00003F64" w:rsidRDefault="00003F64" w:rsidP="00003F64">
      <w:pPr>
        <w:pStyle w:val="17"/>
        <w:spacing w:after="0" w:line="480" w:lineRule="exact"/>
        <w:ind w:left="460"/>
      </w:pPr>
      <w:r>
        <w:rPr>
          <w:rStyle w:val="19"/>
          <w:b/>
          <w:bCs/>
          <w:color w:val="000000"/>
        </w:rPr>
        <w:t>§ 3. Результаты сближения в некоторых сферах</w:t>
      </w:r>
    </w:p>
    <w:p w14:paraId="71E53979" w14:textId="77777777" w:rsidR="00003F64" w:rsidRDefault="00003F64" w:rsidP="00003F64">
      <w:pPr>
        <w:pStyle w:val="17"/>
        <w:tabs>
          <w:tab w:val="right" w:leader="dot" w:pos="9591"/>
        </w:tabs>
        <w:spacing w:after="60" w:line="480" w:lineRule="exact"/>
        <w:ind w:left="460"/>
      </w:pPr>
      <w:r>
        <w:rPr>
          <w:rStyle w:val="19"/>
          <w:b/>
          <w:bCs/>
          <w:color w:val="000000"/>
        </w:rPr>
        <w:t>гражданского процесса</w:t>
      </w:r>
      <w:r>
        <w:rPr>
          <w:rStyle w:val="19"/>
          <w:b/>
          <w:bCs/>
          <w:color w:val="000000"/>
        </w:rPr>
        <w:tab/>
        <w:t>154</w:t>
      </w:r>
    </w:p>
    <w:p w14:paraId="01DAC9C0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</w:pPr>
      <w:r>
        <w:rPr>
          <w:rStyle w:val="19"/>
          <w:b/>
          <w:bCs/>
          <w:color w:val="000000"/>
        </w:rPr>
        <w:t>Глава 3. СБЛИЖЕНИЕ ГРАЖДАНСКОГО ПРОЦЕССУАЛЬНОГО ПРАВА НА ПОСТСОВЕТСКОМ ПРОСТРАНСТВЕ</w:t>
      </w:r>
      <w:r>
        <w:rPr>
          <w:rStyle w:val="19"/>
          <w:b/>
          <w:bCs/>
          <w:color w:val="000000"/>
        </w:rPr>
        <w:tab/>
        <w:t>206</w:t>
      </w:r>
    </w:p>
    <w:p w14:paraId="417A88B7" w14:textId="77777777" w:rsidR="00003F64" w:rsidRDefault="00003F64" w:rsidP="00003F64">
      <w:pPr>
        <w:pStyle w:val="17"/>
        <w:spacing w:after="0" w:line="480" w:lineRule="exact"/>
        <w:ind w:left="460" w:right="2040"/>
      </w:pPr>
      <w:r>
        <w:rPr>
          <w:rStyle w:val="19"/>
          <w:b/>
          <w:bCs/>
          <w:color w:val="000000"/>
        </w:rPr>
        <w:t>§ 1. Переход от единой правовой системы к сотрудничеству государств по сближению в рамках</w:t>
      </w:r>
    </w:p>
    <w:p w14:paraId="14DBB6A4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  <w:ind w:left="460"/>
      </w:pPr>
      <w:r>
        <w:rPr>
          <w:rStyle w:val="19"/>
          <w:b/>
          <w:bCs/>
          <w:color w:val="000000"/>
        </w:rPr>
        <w:t>Содружества Независимых Г осударств (СНГ)</w:t>
      </w:r>
      <w:r>
        <w:rPr>
          <w:rStyle w:val="19"/>
          <w:b/>
          <w:bCs/>
          <w:color w:val="000000"/>
        </w:rPr>
        <w:tab/>
        <w:t>206</w:t>
      </w:r>
    </w:p>
    <w:p w14:paraId="4BFA7A1C" w14:textId="77777777" w:rsidR="00003F64" w:rsidRDefault="00003F64" w:rsidP="00003F64">
      <w:pPr>
        <w:pStyle w:val="17"/>
        <w:tabs>
          <w:tab w:val="right" w:leader="dot" w:pos="9591"/>
        </w:tabs>
        <w:spacing w:after="0" w:line="480" w:lineRule="exact"/>
        <w:ind w:left="460"/>
      </w:pPr>
      <w:hyperlink w:anchor="bookmark11" w:tooltip="Current Document" w:history="1">
        <w:r>
          <w:rPr>
            <w:rStyle w:val="19"/>
            <w:b/>
            <w:bCs/>
            <w:color w:val="000000"/>
          </w:rPr>
          <w:t>§ 2. Процесс сближения в рамках евразийской интеграции</w:t>
        </w:r>
        <w:r>
          <w:rPr>
            <w:rStyle w:val="19"/>
            <w:b/>
            <w:bCs/>
            <w:color w:val="000000"/>
          </w:rPr>
          <w:tab/>
          <w:t>267</w:t>
        </w:r>
      </w:hyperlink>
    </w:p>
    <w:p w14:paraId="632B576A" w14:textId="77777777" w:rsidR="00003F64" w:rsidRDefault="00003F64" w:rsidP="00003F64">
      <w:pPr>
        <w:pStyle w:val="17"/>
        <w:spacing w:after="0" w:line="480" w:lineRule="exact"/>
        <w:ind w:left="460"/>
      </w:pPr>
      <w:r>
        <w:rPr>
          <w:rStyle w:val="19"/>
          <w:b/>
          <w:bCs/>
          <w:color w:val="000000"/>
        </w:rPr>
        <w:t>§ 3. Процессуальные институты, которые могли бы</w:t>
      </w:r>
    </w:p>
    <w:p w14:paraId="10C57625" w14:textId="77777777" w:rsidR="00003F64" w:rsidRDefault="00003F64" w:rsidP="00003F64">
      <w:pPr>
        <w:pStyle w:val="17"/>
        <w:tabs>
          <w:tab w:val="right" w:leader="dot" w:pos="9591"/>
        </w:tabs>
        <w:spacing w:after="220" w:line="480" w:lineRule="exact"/>
        <w:ind w:left="460"/>
      </w:pPr>
      <w:r>
        <w:rPr>
          <w:rStyle w:val="19"/>
          <w:b/>
          <w:bCs/>
          <w:color w:val="000000"/>
        </w:rPr>
        <w:t>выступить объектом сближения</w:t>
      </w:r>
      <w:r>
        <w:rPr>
          <w:rStyle w:val="19"/>
          <w:b/>
          <w:bCs/>
          <w:color w:val="000000"/>
        </w:rPr>
        <w:tab/>
        <w:t>309</w:t>
      </w:r>
    </w:p>
    <w:p w14:paraId="02522DDB" w14:textId="77777777" w:rsidR="00003F64" w:rsidRDefault="00003F64" w:rsidP="00003F64">
      <w:pPr>
        <w:pStyle w:val="17"/>
        <w:tabs>
          <w:tab w:val="right" w:leader="dot" w:pos="9591"/>
        </w:tabs>
        <w:spacing w:after="272" w:line="280" w:lineRule="exact"/>
      </w:pPr>
      <w:hyperlink w:anchor="bookmark14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>397</w:t>
        </w:r>
      </w:hyperlink>
    </w:p>
    <w:p w14:paraId="25B5D7D1" w14:textId="036D56CF" w:rsidR="00003F64" w:rsidRDefault="00003F64" w:rsidP="00003F64">
      <w:pPr>
        <w:pStyle w:val="42"/>
        <w:shd w:val="clear" w:color="auto" w:fill="auto"/>
        <w:spacing w:after="0" w:line="280" w:lineRule="exact"/>
        <w:jc w:val="both"/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C037D06" wp14:editId="30D20096">
                <wp:simplePos x="0" y="0"/>
                <wp:positionH relativeFrom="margin">
                  <wp:posOffset>5855335</wp:posOffset>
                </wp:positionH>
                <wp:positionV relativeFrom="paragraph">
                  <wp:posOffset>-20320</wp:posOffset>
                </wp:positionV>
                <wp:extent cx="292735" cy="177800"/>
                <wp:effectExtent l="3175" t="0" r="0" b="0"/>
                <wp:wrapSquare wrapText="left"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020B3" w14:textId="77777777" w:rsidR="00003F64" w:rsidRDefault="00003F64" w:rsidP="00003F64">
                            <w:pPr>
                              <w:pStyle w:val="42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407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37D06" id="_x0000_t202" coordsize="21600,21600" o:spt="202" path="m,l,21600r21600,l21600,xe">
                <v:stroke joinstyle="miter"/>
                <v:path gradientshapeok="t" o:connecttype="rect"/>
              </v:shapetype>
              <v:shape id="Надпись 82" o:spid="_x0000_s1026" type="#_x0000_t202" style="position:absolute;left:0;text-align:left;margin-left:461.05pt;margin-top:-1.6pt;width:23.05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" filled="f" stroked="f">
                <v:textbox style="mso-fit-shape-to-text:t" inset="0,0,0,0">
                  <w:txbxContent>
                    <w:p w14:paraId="6CE020B3" w14:textId="77777777" w:rsidR="00003F64" w:rsidRDefault="00003F64" w:rsidP="00003F64">
                      <w:pPr>
                        <w:pStyle w:val="42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407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41"/>
          <w:b/>
          <w:bCs/>
          <w:color w:val="000000"/>
        </w:rPr>
        <w:t>БИБЛИОГРАФИЯ</w:t>
      </w:r>
      <w:r>
        <w:br w:type="page"/>
      </w:r>
    </w:p>
    <w:p w14:paraId="5460D0D9" w14:textId="42DAC3BC" w:rsidR="00390B48" w:rsidRDefault="00390B48" w:rsidP="00003F64"/>
    <w:p w14:paraId="5D93CF33" w14:textId="0A80B172" w:rsidR="00003F64" w:rsidRDefault="00003F64" w:rsidP="00003F64"/>
    <w:p w14:paraId="062414B2" w14:textId="313A9F92" w:rsidR="00003F64" w:rsidRDefault="00003F64" w:rsidP="00003F64"/>
    <w:p w14:paraId="625E8B8F" w14:textId="77777777" w:rsidR="00003F64" w:rsidRDefault="00003F64" w:rsidP="00003F64">
      <w:pPr>
        <w:pStyle w:val="15"/>
        <w:keepNext/>
        <w:keepLines/>
        <w:shd w:val="clear" w:color="auto" w:fill="auto"/>
        <w:spacing w:after="347" w:line="280" w:lineRule="exact"/>
      </w:pPr>
      <w:bookmarkStart w:id="2" w:name="bookmark14"/>
      <w:r>
        <w:rPr>
          <w:rStyle w:val="14"/>
          <w:b/>
          <w:bCs/>
          <w:color w:val="000000"/>
        </w:rPr>
        <w:t>ЗАКЛЮЧЕНИЕ</w:t>
      </w:r>
      <w:bookmarkEnd w:id="2"/>
    </w:p>
    <w:p w14:paraId="601CDB9E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В одном из важнейших источников римского прав, дошедшем до наших дней - Законах 12 таблиц - первые три таблицы были полностью посвящены процедуре судебного разбирательства. Несмотря на отсутствие в римском праве деления права на материальное и процессуальное, значение этого факта трудно переоценить. Процессуальные нормы находились у истоков зарождения права. Проведенный анализ исторического развития правовых систем во времена </w:t>
      </w:r>
      <w:r>
        <w:rPr>
          <w:rStyle w:val="21"/>
          <w:color w:val="000000"/>
          <w:lang w:val="en-US" w:eastAsia="en-US"/>
        </w:rPr>
        <w:t>Ius</w:t>
      </w:r>
      <w:r w:rsidRPr="00003F6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Commune</w:t>
      </w:r>
      <w:r w:rsidRPr="00003F6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(XI - XVI в.) и в период второй половины XX в. свидетельствует о традиционном повышенном внимании к гражданскому процессу в тех случаях, когда речь идет об их сближении.</w:t>
      </w:r>
    </w:p>
    <w:p w14:paraId="4E22211A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Не только европейский опыт, но опыт государств Латинской Америки подтверждает тезис о том, что гражданское процессуальное право традиционно находится в фокусе современного развития государств и интеграционных объе</w:t>
      </w:r>
      <w:r>
        <w:rPr>
          <w:rStyle w:val="21"/>
          <w:color w:val="000000"/>
        </w:rPr>
        <w:softHyphen/>
        <w:t>динений. Возникновение глобализации оказывает непосредственное влияние на право в целом и гражданский процесс в частности. Идут интернационализация процесса, смешение различных типов судопроизводства. В масштабах интегра</w:t>
      </w:r>
      <w:r>
        <w:rPr>
          <w:rStyle w:val="21"/>
          <w:color w:val="000000"/>
        </w:rPr>
        <w:softHyphen/>
        <w:t>ционных объединений очевидным и разумным выступает стремление госу- дарств-участников и органов объединения контролировать масштабы и ско</w:t>
      </w:r>
      <w:r>
        <w:rPr>
          <w:rStyle w:val="21"/>
          <w:color w:val="000000"/>
        </w:rPr>
        <w:softHyphen/>
        <w:t>рость таких явлений. При этом существующий набор различных инструментов сближения способен в полной мере обеспечить потребности государств и их объединений.</w:t>
      </w:r>
    </w:p>
    <w:p w14:paraId="0E5CC115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В результате проведенного исследования в контексте сближения граж</w:t>
      </w:r>
      <w:r>
        <w:rPr>
          <w:rStyle w:val="21"/>
          <w:color w:val="000000"/>
        </w:rPr>
        <w:softHyphen/>
        <w:t>данского процесса в целом и правовых инструментов сближения были достиг</w:t>
      </w:r>
      <w:r>
        <w:rPr>
          <w:rStyle w:val="21"/>
          <w:color w:val="000000"/>
        </w:rPr>
        <w:softHyphen/>
        <w:t>нуты следующие результаты.</w:t>
      </w:r>
    </w:p>
    <w:p w14:paraId="176805EB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Сформулировано понятие сближения права, под которым следует по</w:t>
      </w:r>
      <w:r>
        <w:rPr>
          <w:rStyle w:val="21"/>
          <w:color w:val="000000"/>
        </w:rPr>
        <w:softHyphen/>
        <w:t>нимать процесс, имеющий своей целью преодоление существующих различий в отдельных правопорядка* путем создания близких, но не обязательно идентич</w:t>
      </w:r>
      <w:r>
        <w:rPr>
          <w:rStyle w:val="21"/>
          <w:color w:val="000000"/>
        </w:rPr>
        <w:softHyphen/>
        <w:t>ных правовых норм. В качестве объекта сближения выступает как право в це</w:t>
      </w:r>
      <w:r>
        <w:rPr>
          <w:rStyle w:val="21"/>
          <w:color w:val="000000"/>
        </w:rPr>
        <w:softHyphen/>
        <w:t>лом, так и отдельные правовые институты.</w:t>
      </w:r>
    </w:p>
    <w:p w14:paraId="0CB7C032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Кроме того, дано понятие сближения гражданского процессуального пра</w:t>
      </w:r>
      <w:r>
        <w:rPr>
          <w:rStyle w:val="21"/>
          <w:color w:val="000000"/>
        </w:rPr>
        <w:softHyphen/>
        <w:t>ва в контексте интеграционного объединения как формы взаимодействия пра</w:t>
      </w:r>
      <w:r>
        <w:rPr>
          <w:rStyle w:val="21"/>
          <w:color w:val="000000"/>
        </w:rPr>
        <w:softHyphen/>
        <w:t>вовых систем государств с использованием определенных правовых инстру</w:t>
      </w:r>
      <w:r>
        <w:rPr>
          <w:rStyle w:val="21"/>
          <w:color w:val="000000"/>
        </w:rPr>
        <w:softHyphen/>
        <w:t>ментов (международный договор, мягкое право, согласованное правотворчест</w:t>
      </w:r>
      <w:r>
        <w:rPr>
          <w:rStyle w:val="21"/>
          <w:color w:val="000000"/>
        </w:rPr>
        <w:softHyphen/>
        <w:t>во, рецепция права и т. д.), направленного на создание единого правового про</w:t>
      </w:r>
      <w:r>
        <w:rPr>
          <w:rStyle w:val="21"/>
          <w:color w:val="000000"/>
        </w:rPr>
        <w:softHyphen/>
        <w:t>странства интеграционного объединения.</w:t>
      </w:r>
    </w:p>
    <w:p w14:paraId="0054FE02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свою очередь процесс сближения с точки зрения результатов может проявляться в создании правил единой прямой компетенции национальных су</w:t>
      </w:r>
      <w:r>
        <w:rPr>
          <w:rStyle w:val="21"/>
          <w:color w:val="000000"/>
        </w:rPr>
        <w:softHyphen/>
        <w:t>дов, унифицированных (единых) упрощенных производств (приказное произ</w:t>
      </w:r>
      <w:r>
        <w:rPr>
          <w:rStyle w:val="21"/>
          <w:color w:val="000000"/>
        </w:rPr>
        <w:softHyphen/>
        <w:t>водство, производство по небольшим искам), отмене процедуры экзекватуры для иностранных судебных решений, в создании общих принципов граждан</w:t>
      </w:r>
      <w:r>
        <w:rPr>
          <w:rStyle w:val="21"/>
          <w:color w:val="000000"/>
        </w:rPr>
        <w:softHyphen/>
        <w:t>ского процессуального права, содержании конкретных процессуальных нормы.</w:t>
      </w:r>
    </w:p>
    <w:p w14:paraId="57A13CE9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Анализ правового положения иностранных лиц в гражданском процес</w:t>
      </w:r>
      <w:r>
        <w:rPr>
          <w:rStyle w:val="21"/>
          <w:color w:val="000000"/>
        </w:rPr>
        <w:softHyphen/>
        <w:t>се показывает, что по общему правилу вне зависимости от страны происхожде</w:t>
      </w:r>
      <w:r>
        <w:rPr>
          <w:rStyle w:val="21"/>
          <w:color w:val="000000"/>
        </w:rPr>
        <w:softHyphen/>
        <w:t xml:space="preserve">ния к сторонам (гражданам и иностранным лицам) в силу принципа </w:t>
      </w:r>
      <w:r>
        <w:rPr>
          <w:rStyle w:val="21"/>
          <w:color w:val="000000"/>
          <w:lang w:val="en-US" w:eastAsia="en-US"/>
        </w:rPr>
        <w:t>lex</w:t>
      </w:r>
      <w:r w:rsidRPr="00003F6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fori</w:t>
      </w:r>
      <w:r w:rsidRPr="00003F6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lastRenderedPageBreak/>
        <w:t>применяются аналогичные нормы национального гражданского процесса. На</w:t>
      </w:r>
      <w:r>
        <w:rPr>
          <w:rStyle w:val="21"/>
          <w:color w:val="000000"/>
        </w:rPr>
        <w:softHyphen/>
        <w:t>личие специальных правил рассмотрения дел с участием иностранных лиц во многом обусловлено техническими особенностями протекания процесса с уча</w:t>
      </w:r>
      <w:r>
        <w:rPr>
          <w:rStyle w:val="21"/>
          <w:color w:val="000000"/>
        </w:rPr>
        <w:softHyphen/>
        <w:t>стием иностранных лиц ввиду ограниченности судебной власти территорией одного государства. Реальным примером норм, направленных на защиту ино</w:t>
      </w:r>
      <w:r>
        <w:rPr>
          <w:rStyle w:val="21"/>
          <w:color w:val="000000"/>
        </w:rPr>
        <w:softHyphen/>
        <w:t>странных лиц, можно считать положения об увеличенных сроках рассмотрения дел.</w:t>
      </w:r>
    </w:p>
    <w:p w14:paraId="5FAA9A99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Ввиду распространения общих правил национального процесса на ино</w:t>
      </w:r>
      <w:r>
        <w:rPr>
          <w:rStyle w:val="21"/>
          <w:color w:val="000000"/>
        </w:rPr>
        <w:softHyphen/>
        <w:t>странных лиц режим конкуренции между правопорядками в совокупности с существующими различиями в правовом регулировании способен приводить к нарушению действующего принципа равенства сторон. Кроме того, различия в процессуальном праве не остаются без последствий и для экономического обо</w:t>
      </w:r>
      <w:r>
        <w:rPr>
          <w:rStyle w:val="21"/>
          <w:color w:val="000000"/>
        </w:rPr>
        <w:softHyphen/>
        <w:t>рота. То субъективное право, которое сложно реализовать и защитить в судеб</w:t>
      </w:r>
      <w:r>
        <w:rPr>
          <w:rStyle w:val="21"/>
          <w:color w:val="000000"/>
        </w:rPr>
        <w:softHyphen/>
        <w:t>ном порядке, имеет более низкое экономически стоимостное выражение из-за появления неопределенности в защите права и роста транзакционных издержек.</w:t>
      </w:r>
    </w:p>
    <w:p w14:paraId="2EF9D3A6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исследовании доказано преимущество сближения процессуального права в сравнении с конкуренцией правовых систем. Признанный постулат ма</w:t>
      </w:r>
      <w:r>
        <w:rPr>
          <w:rStyle w:val="21"/>
          <w:color w:val="000000"/>
        </w:rPr>
        <w:softHyphen/>
        <w:t>териального права о недопустимости ситуации, когда результат рассмотрения спора зависит от места рассмотрения, следует равным образом применять и к процессуальному праву. В масштабах интеграционных объединений данный тезис приобретает особое значение при условии наличия стремления к построе</w:t>
      </w:r>
      <w:r>
        <w:rPr>
          <w:rStyle w:val="21"/>
          <w:color w:val="000000"/>
        </w:rPr>
        <w:softHyphen/>
        <w:t>нию единого экономического и правового пространства. Только сближение процессуальных норм, способных оказать влияние на принимаемые решения, может способствовать повышению правовой защищенности участников оборо</w:t>
      </w:r>
      <w:r>
        <w:rPr>
          <w:rStyle w:val="21"/>
          <w:color w:val="000000"/>
        </w:rPr>
        <w:softHyphen/>
        <w:t>та и снижению издержек сторон.</w:t>
      </w:r>
    </w:p>
    <w:p w14:paraId="413948A4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При рассмотрении возможных препятствий для сближения граждан</w:t>
      </w:r>
      <w:r>
        <w:rPr>
          <w:rStyle w:val="21"/>
          <w:color w:val="000000"/>
        </w:rPr>
        <w:softHyphen/>
        <w:t xml:space="preserve">ского процесса в виде действия </w:t>
      </w:r>
      <w:r>
        <w:rPr>
          <w:rStyle w:val="21"/>
          <w:color w:val="000000"/>
          <w:lang w:val="en-US" w:eastAsia="en-US"/>
        </w:rPr>
        <w:t xml:space="preserve">lex fori </w:t>
      </w:r>
      <w:r>
        <w:rPr>
          <w:rStyle w:val="21"/>
          <w:color w:val="000000"/>
        </w:rPr>
        <w:t>или характера деятельности юристов сделан вывод, что данные явления не способны стать реальным препятствием для сближения процессуального права. Более того, наличие споров, осложнен</w:t>
      </w:r>
      <w:r>
        <w:rPr>
          <w:rStyle w:val="21"/>
          <w:color w:val="000000"/>
        </w:rPr>
        <w:softHyphen/>
        <w:t>ных иностранным элементом, объективно вынуждает государства, так или ина</w:t>
      </w:r>
      <w:r>
        <w:rPr>
          <w:rStyle w:val="21"/>
          <w:color w:val="000000"/>
        </w:rPr>
        <w:softHyphen/>
        <w:t>че, координировать и сближать свое законодательство в целях преодоления возникающих конфликтов юрисдикций или исполнения судебных решений.</w:t>
      </w:r>
    </w:p>
    <w:p w14:paraId="4DA4A467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Речь идет о существовании своеобразного запроса в рамках интеграцион</w:t>
      </w:r>
      <w:r>
        <w:rPr>
          <w:rStyle w:val="21"/>
          <w:color w:val="000000"/>
        </w:rPr>
        <w:softHyphen/>
        <w:t xml:space="preserve">ных процессов на сужение сферы действия </w:t>
      </w:r>
      <w:r>
        <w:rPr>
          <w:rStyle w:val="21"/>
          <w:color w:val="000000"/>
          <w:lang w:val="en-US" w:eastAsia="en-US"/>
        </w:rPr>
        <w:t xml:space="preserve">lex fori </w:t>
      </w:r>
      <w:r>
        <w:rPr>
          <w:rStyle w:val="21"/>
          <w:color w:val="000000"/>
        </w:rPr>
        <w:t>в целях построения и без</w:t>
      </w:r>
      <w:r>
        <w:rPr>
          <w:rStyle w:val="21"/>
          <w:color w:val="000000"/>
        </w:rPr>
        <w:softHyphen/>
        <w:t>барьерного функционирования внутреннего единого рынка. Наличие и резуль</w:t>
      </w:r>
      <w:r>
        <w:rPr>
          <w:rStyle w:val="21"/>
          <w:color w:val="000000"/>
        </w:rPr>
        <w:softHyphen/>
        <w:t>таты подобного запроса можно наблюдать на примере этапов развития евро</w:t>
      </w:r>
      <w:r>
        <w:rPr>
          <w:rStyle w:val="21"/>
          <w:color w:val="000000"/>
        </w:rPr>
        <w:softHyphen/>
        <w:t>пейского гражданского процесса, прошедшего путь от конвенционального ре</w:t>
      </w:r>
      <w:r>
        <w:rPr>
          <w:rStyle w:val="21"/>
          <w:color w:val="000000"/>
        </w:rPr>
        <w:softHyphen/>
        <w:t>гулирования отдельных вопросов гражданского процесса до принятия европей</w:t>
      </w:r>
      <w:r>
        <w:rPr>
          <w:rStyle w:val="21"/>
          <w:color w:val="000000"/>
        </w:rPr>
        <w:softHyphen/>
        <w:t>ских процедур гражданского процесса.</w:t>
      </w:r>
    </w:p>
    <w:p w14:paraId="4043E1AE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 xml:space="preserve">Сделан вывод, что сферу действия доктрины </w:t>
      </w:r>
      <w:r>
        <w:rPr>
          <w:rStyle w:val="21"/>
          <w:color w:val="000000"/>
          <w:lang w:val="en-US" w:eastAsia="en-US"/>
        </w:rPr>
        <w:t xml:space="preserve">lex fori </w:t>
      </w:r>
      <w:r>
        <w:rPr>
          <w:rStyle w:val="21"/>
          <w:color w:val="000000"/>
        </w:rPr>
        <w:t>можно дифференци</w:t>
      </w:r>
      <w:r>
        <w:rPr>
          <w:rStyle w:val="21"/>
          <w:color w:val="000000"/>
        </w:rPr>
        <w:softHyphen/>
        <w:t>ровать следующим образом: к первой группе нужно отнести ситуации, где дей</w:t>
      </w:r>
      <w:r>
        <w:rPr>
          <w:rStyle w:val="21"/>
          <w:color w:val="000000"/>
        </w:rPr>
        <w:softHyphen/>
        <w:t xml:space="preserve">ствие </w:t>
      </w:r>
      <w:r>
        <w:rPr>
          <w:rStyle w:val="21"/>
          <w:color w:val="000000"/>
          <w:lang w:val="en-US" w:eastAsia="en-US"/>
        </w:rPr>
        <w:t xml:space="preserve">lex fori </w:t>
      </w:r>
      <w:r>
        <w:rPr>
          <w:rStyle w:val="21"/>
          <w:color w:val="000000"/>
        </w:rPr>
        <w:t>исключено в большинстве случаев (международная компетенция, признание и приведение в исполнение иностранных судебных актов); вторая группа образуется в интеграционных объединениях, в которых высока потреб</w:t>
      </w:r>
      <w:r>
        <w:rPr>
          <w:rStyle w:val="21"/>
          <w:color w:val="000000"/>
        </w:rPr>
        <w:softHyphen/>
        <w:t xml:space="preserve">ность введения единого упрощенного и ускоренного порядка рассмотрения гражданских дел внутри интеграционного объединения (например, приказное производство); третья группа - все иные ситуации, в которых действие </w:t>
      </w:r>
      <w:r>
        <w:rPr>
          <w:rStyle w:val="21"/>
          <w:color w:val="000000"/>
          <w:lang w:val="en-US" w:eastAsia="en-US"/>
        </w:rPr>
        <w:t xml:space="preserve">lex fori </w:t>
      </w:r>
      <w:r>
        <w:rPr>
          <w:rStyle w:val="21"/>
          <w:color w:val="000000"/>
        </w:rPr>
        <w:t>не подвергается сомнению (судебная организация, процессуальные сроки, представительство, судебные штрафы и т. д.).</w:t>
      </w:r>
    </w:p>
    <w:p w14:paraId="07359706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Существующее многообразие правовых инструментов сближения пра</w:t>
      </w:r>
      <w:r>
        <w:rPr>
          <w:rStyle w:val="21"/>
          <w:color w:val="000000"/>
        </w:rPr>
        <w:softHyphen/>
        <w:t>ва позволяет говорить о гибкости процесса сближения, что обусловлено его объектом - правом в его социальном понимании. Учет экономических, соци</w:t>
      </w:r>
      <w:r>
        <w:rPr>
          <w:rStyle w:val="21"/>
          <w:color w:val="000000"/>
        </w:rPr>
        <w:softHyphen/>
        <w:t>альных и культурных составляющих государств-участников - осознанная необ</w:t>
      </w:r>
      <w:r>
        <w:rPr>
          <w:rStyle w:val="21"/>
          <w:color w:val="000000"/>
        </w:rPr>
        <w:softHyphen/>
        <w:t>ходимость процесса сближения.</w:t>
      </w:r>
    </w:p>
    <w:p w14:paraId="2DEF673F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Рассмотренные в настоящем исследовании правовые инструменты обла</w:t>
      </w:r>
      <w:r>
        <w:rPr>
          <w:rStyle w:val="21"/>
          <w:color w:val="000000"/>
        </w:rPr>
        <w:softHyphen/>
        <w:t>дают уникальными характеристиками со всеми своими преимуществами и не</w:t>
      </w:r>
      <w:r>
        <w:rPr>
          <w:rStyle w:val="21"/>
          <w:color w:val="000000"/>
        </w:rPr>
        <w:softHyphen/>
        <w:t>достатками. При этом в качестве общего тезиса рассматривается позиция о том, что лучшего варианта для любой ситуаций просто не существует. То, чего уда</w:t>
      </w:r>
      <w:r>
        <w:rPr>
          <w:rStyle w:val="21"/>
          <w:color w:val="000000"/>
        </w:rPr>
        <w:softHyphen/>
        <w:t>лось достичь государствам Северной Европы путем согласованного правотвор</w:t>
      </w:r>
      <w:r>
        <w:rPr>
          <w:rStyle w:val="21"/>
          <w:color w:val="000000"/>
        </w:rPr>
        <w:softHyphen/>
        <w:t>чества или ЕС через супранациональное регулирование, не дает гарантии ус</w:t>
      </w:r>
      <w:r>
        <w:rPr>
          <w:rStyle w:val="21"/>
          <w:color w:val="000000"/>
        </w:rPr>
        <w:softHyphen/>
        <w:t>пешности применения этих инструментов для интеграционных объединений с другим набором исходных данных.</w:t>
      </w:r>
    </w:p>
    <w:p w14:paraId="545899DA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качестве определяющих факторов результативности применения вы</w:t>
      </w:r>
      <w:r>
        <w:rPr>
          <w:rStyle w:val="21"/>
          <w:color w:val="000000"/>
        </w:rPr>
        <w:softHyphen/>
        <w:t>бранных инструментов сближения в интеграционном объединении следует счи</w:t>
      </w:r>
      <w:r>
        <w:rPr>
          <w:rStyle w:val="21"/>
          <w:color w:val="000000"/>
        </w:rPr>
        <w:softHyphen/>
        <w:t>тать общую историю и доверие. Именно доверие, а точнее, его степень, откры</w:t>
      </w:r>
      <w:r>
        <w:rPr>
          <w:rStyle w:val="21"/>
          <w:color w:val="000000"/>
        </w:rPr>
        <w:softHyphen/>
        <w:t>вает доступ к тому или иному спектру правовых инструментов. Модельный за</w:t>
      </w:r>
      <w:r>
        <w:rPr>
          <w:rStyle w:val="21"/>
          <w:color w:val="000000"/>
        </w:rPr>
        <w:softHyphen/>
        <w:t>кон для случаев с менее высоким, и супранациональное регулирование или со</w:t>
      </w:r>
      <w:r>
        <w:rPr>
          <w:rStyle w:val="21"/>
          <w:color w:val="000000"/>
        </w:rPr>
        <w:softHyphen/>
        <w:t>гласованное правотворчество - для случаев с более высоким уровнем доверия государств друг к другу.</w:t>
      </w:r>
    </w:p>
    <w:p w14:paraId="66132259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качестве прообраза современного европейского правового простран</w:t>
      </w:r>
      <w:r>
        <w:rPr>
          <w:rStyle w:val="21"/>
          <w:color w:val="000000"/>
        </w:rPr>
        <w:softHyphen/>
        <w:t xml:space="preserve">ства с определенной долей условности следует рассматривать такое правовое явление, как </w:t>
      </w:r>
      <w:r>
        <w:rPr>
          <w:rStyle w:val="21"/>
          <w:color w:val="000000"/>
          <w:lang w:val="en-US" w:eastAsia="en-US"/>
        </w:rPr>
        <w:t xml:space="preserve">Ius Commune. </w:t>
      </w:r>
      <w:r>
        <w:rPr>
          <w:rStyle w:val="21"/>
          <w:color w:val="000000"/>
        </w:rPr>
        <w:t>В свою очередь общее процессуальное регулирова</w:t>
      </w:r>
      <w:r>
        <w:rPr>
          <w:rStyle w:val="21"/>
          <w:color w:val="000000"/>
        </w:rPr>
        <w:softHyphen/>
        <w:t>ние (Устав гражданского судопроизводства 1864 г.) и советскую процессуаль</w:t>
      </w:r>
      <w:r>
        <w:rPr>
          <w:rStyle w:val="21"/>
          <w:color w:val="000000"/>
        </w:rPr>
        <w:softHyphen/>
        <w:t xml:space="preserve">ную </w:t>
      </w:r>
      <w:r>
        <w:rPr>
          <w:rStyle w:val="21"/>
          <w:color w:val="000000"/>
        </w:rPr>
        <w:lastRenderedPageBreak/>
        <w:t>доктрину можно считать прообразом евразийского правового (гражданско</w:t>
      </w:r>
      <w:r>
        <w:rPr>
          <w:rStyle w:val="21"/>
          <w:color w:val="000000"/>
        </w:rPr>
        <w:softHyphen/>
        <w:t>го процессуального) пространства.</w:t>
      </w:r>
    </w:p>
    <w:p w14:paraId="0719AE97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Подробный анализ этапов сближения гражданского процесса в ЕС позво</w:t>
      </w:r>
      <w:r>
        <w:rPr>
          <w:rStyle w:val="21"/>
          <w:color w:val="000000"/>
        </w:rPr>
        <w:softHyphen/>
        <w:t>ляет утверждать, что одним из ключевых моментов для его развития стало по</w:t>
      </w:r>
      <w:r>
        <w:rPr>
          <w:rStyle w:val="21"/>
          <w:color w:val="000000"/>
        </w:rPr>
        <w:softHyphen/>
        <w:t>нимание различий в процессуальном регулировании как барьеров для эффек</w:t>
      </w:r>
      <w:r>
        <w:rPr>
          <w:rStyle w:val="21"/>
          <w:color w:val="000000"/>
        </w:rPr>
        <w:softHyphen/>
        <w:t>тивного функционирования внутреннего рынка интеграционного объединения.</w:t>
      </w:r>
    </w:p>
    <w:p w14:paraId="7F4B8CCD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Изучение опыта ЕС показывает, что провозглашение свободного внут</w:t>
      </w:r>
      <w:r>
        <w:rPr>
          <w:rStyle w:val="21"/>
          <w:color w:val="000000"/>
        </w:rPr>
        <w:softHyphen/>
        <w:t>реннего рынка и четырех свобод без построения совместной инфраструктуры в сфере юстиции для трансграничных дел участников такого рынка останется лишь благим намерением. В этой взаимосвязи возникает феномен европейского гражданского процесса, одной из задач которого стало сближение националь</w:t>
      </w:r>
      <w:r>
        <w:rPr>
          <w:rStyle w:val="21"/>
          <w:color w:val="000000"/>
        </w:rPr>
        <w:softHyphen/>
        <w:t>ных процессуальных институтов государств-членов ЕС по делам с участием иностранных лиц в случае, если последние находятся на территории ЕС.</w:t>
      </w:r>
    </w:p>
    <w:p w14:paraId="10658C49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При этом на разных этапах сближения наблюдаются разносторонне на</w:t>
      </w:r>
      <w:r>
        <w:rPr>
          <w:rStyle w:val="21"/>
          <w:color w:val="000000"/>
        </w:rPr>
        <w:softHyphen/>
        <w:t>правленные процессы, как то: растущее взаимопроникновение и сближение на</w:t>
      </w:r>
      <w:r>
        <w:rPr>
          <w:rStyle w:val="21"/>
          <w:color w:val="000000"/>
        </w:rPr>
        <w:softHyphen/>
        <w:t>циональных правопорядков через принятие правовых актов на уровне ЕС, а также возросшая конкуренция и тенденции к реформированию национальных процессуальных норм.</w:t>
      </w:r>
    </w:p>
    <w:p w14:paraId="22C39115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Процесс сближения гражданского процессуального права в ЕС имел, в том числе, определенные негативные последствия для отдельных правопоряд</w:t>
      </w:r>
      <w:r>
        <w:rPr>
          <w:rStyle w:val="21"/>
          <w:color w:val="000000"/>
        </w:rPr>
        <w:softHyphen/>
        <w:t>ков. Так, в ряде случаев «открытие» национального процессуального права не самых крупных и развитых государств-членов привело к невозможности на</w:t>
      </w:r>
      <w:r>
        <w:rPr>
          <w:rStyle w:val="21"/>
          <w:color w:val="000000"/>
        </w:rPr>
        <w:softHyphen/>
        <w:t>ционального права устоять перед «большими» и развитыми соседями по ЕС.</w:t>
      </w:r>
    </w:p>
    <w:p w14:paraId="43A18DD3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Кроме того, произошло «столкновение» между континентальной право</w:t>
      </w:r>
      <w:r>
        <w:rPr>
          <w:rStyle w:val="21"/>
          <w:color w:val="000000"/>
        </w:rPr>
        <w:softHyphen/>
        <w:t>вой традицией и процессом стран общего права, из которого последние вышли с потерями. Судебная практика Европейского суда справедливости по некото</w:t>
      </w:r>
      <w:r>
        <w:rPr>
          <w:rStyle w:val="21"/>
          <w:color w:val="000000"/>
        </w:rPr>
        <w:softHyphen/>
        <w:t>рым делам выключила из правового регулирования внутри ЕС целые процессу</w:t>
      </w:r>
      <w:r>
        <w:rPr>
          <w:rStyle w:val="21"/>
          <w:color w:val="000000"/>
        </w:rPr>
        <w:softHyphen/>
        <w:t>альные институты общего права, которые не согласовывались с концепцией континентально-европейского гражданского процесса.</w:t>
      </w:r>
    </w:p>
    <w:p w14:paraId="27CA9E29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Создание правил прямой компетенции во многом позволило создать у европейских судей минимально необходимый уровень доверия к иностранному судебному решению. Наличие такой системы одновременно снимает вопрос о наличии у иностранного суда компетенции при признании и приведении в ис</w:t>
      </w:r>
      <w:r>
        <w:rPr>
          <w:rStyle w:val="21"/>
          <w:color w:val="000000"/>
        </w:rPr>
        <w:softHyphen/>
        <w:t>полнении иностранного судебного решения, что позже стало основой для отка</w:t>
      </w:r>
      <w:r>
        <w:rPr>
          <w:rStyle w:val="21"/>
          <w:color w:val="000000"/>
        </w:rPr>
        <w:softHyphen/>
        <w:t>за от системы экзекватуры.</w:t>
      </w:r>
    </w:p>
    <w:p w14:paraId="232261D0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свою очередь достигнутый уровень сближения права в ЕС по вопро</w:t>
      </w:r>
      <w:r>
        <w:rPr>
          <w:rStyle w:val="21"/>
          <w:color w:val="000000"/>
        </w:rPr>
        <w:softHyphen/>
        <w:t>су признания и приведения в исполнение иностранных судебных решений можно назвать исключительным. Отмена экзекватуры, несмотря на сохраняю</w:t>
      </w:r>
      <w:r>
        <w:rPr>
          <w:rStyle w:val="21"/>
          <w:color w:val="000000"/>
        </w:rPr>
        <w:softHyphen/>
        <w:t>щуюся возможность отказа в признании иностранного решения исполнимым - это тот шаг, который потребовал колоссального доверия судебных систем друг к другу.</w:t>
      </w:r>
    </w:p>
    <w:p w14:paraId="790F3702" w14:textId="77777777" w:rsidR="00003F64" w:rsidRDefault="00003F64" w:rsidP="00003F64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Анализ содержания главы III регламента 1215/2012 показал смену фокуса контроля от государства в сторону частноправовых субъектов. Государства- члены ЕС (в лице своих органов и должностных лиц) в настоящее время никак не могут воспрепятствовать действию судебного решения из другого государ</w:t>
      </w:r>
      <w:r>
        <w:rPr>
          <w:rStyle w:val="21"/>
          <w:color w:val="000000"/>
        </w:rPr>
        <w:softHyphen/>
        <w:t>ства ЕС. В этом смысле для государств достигается некоторое снижение судеб</w:t>
      </w:r>
      <w:r>
        <w:rPr>
          <w:rStyle w:val="21"/>
          <w:color w:val="000000"/>
        </w:rPr>
        <w:softHyphen/>
        <w:t>ной нагрузки, а для сторон возрастает ответственность за процессуальное пове</w:t>
      </w:r>
      <w:r>
        <w:rPr>
          <w:rStyle w:val="21"/>
          <w:color w:val="000000"/>
        </w:rPr>
        <w:softHyphen/>
        <w:t>дение.</w:t>
      </w:r>
    </w:p>
    <w:p w14:paraId="57BE4EBF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свою очередь детальное изучение европейского регулирования сви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детельствует о том, что введение европейского приказного производства было направлено не только на борьбу с задержками платежей внутри единого рынка ЕС, но и на создание у граждан ЕС ощущения «прямого действия» права инте</w:t>
      </w:r>
      <w:r>
        <w:rPr>
          <w:rStyle w:val="21"/>
          <w:color w:val="000000"/>
        </w:rPr>
        <w:softHyphen/>
        <w:t>грационного объединения. Особое значение это приобретает в тех государст</w:t>
      </w:r>
      <w:r>
        <w:rPr>
          <w:rStyle w:val="21"/>
          <w:color w:val="000000"/>
        </w:rPr>
        <w:softHyphen/>
        <w:t>вах, праву которых приказное производство ранее не было знакомо или не до</w:t>
      </w:r>
      <w:r>
        <w:rPr>
          <w:rStyle w:val="21"/>
          <w:color w:val="000000"/>
        </w:rPr>
        <w:softHyphen/>
        <w:t>пускало его применения к трансграничным случаям.</w:t>
      </w:r>
    </w:p>
    <w:p w14:paraId="3ADFDB84" w14:textId="77777777" w:rsidR="00003F64" w:rsidRDefault="00003F64" w:rsidP="00003F64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Важным аспектом с точки зрения ликвидации правовых барьеров внутри ЕС выступает тот факт, что именно с европейского приказного производства началась апробация полного отказа от процедуры выдачи экзекватуры ино</w:t>
      </w:r>
      <w:r>
        <w:rPr>
          <w:rStyle w:val="21"/>
          <w:color w:val="000000"/>
        </w:rPr>
        <w:softHyphen/>
        <w:t>странных судебных решений. Упрощенный вид судопроизводства, востребо</w:t>
      </w:r>
      <w:r>
        <w:rPr>
          <w:rStyle w:val="21"/>
          <w:color w:val="000000"/>
        </w:rPr>
        <w:softHyphen/>
        <w:t>ванный на практике, выступил пробным шаром для дальнейшего сближения правопорядков.</w:t>
      </w:r>
    </w:p>
    <w:p w14:paraId="38F52089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Историко-правовой анализ процессов, происходивших после распада СССР, показал их разнонаправленную динамику. На смену активному взаимо</w:t>
      </w:r>
      <w:r>
        <w:rPr>
          <w:rStyle w:val="21"/>
          <w:color w:val="000000"/>
        </w:rPr>
        <w:softHyphen/>
        <w:t>действию государств во времена СНГ (поиск моделей и инструментов сближе</w:t>
      </w:r>
      <w:r>
        <w:rPr>
          <w:rStyle w:val="21"/>
          <w:color w:val="000000"/>
        </w:rPr>
        <w:softHyphen/>
        <w:t>ния, разработка и принятие многосторонних соглашений и т. д.), пришел пери</w:t>
      </w:r>
      <w:r>
        <w:rPr>
          <w:rStyle w:val="21"/>
          <w:color w:val="000000"/>
        </w:rPr>
        <w:softHyphen/>
        <w:t>од значительного снижения его активности в рамках ЕврАзЭС и ЕАЭС.</w:t>
      </w:r>
    </w:p>
    <w:p w14:paraId="2EEDE97C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Сравнительно-правовой анализ правовых инструментов сближения на постсоветском пространстве показал, что наиболее востребованным был и ос</w:t>
      </w:r>
      <w:r>
        <w:rPr>
          <w:rStyle w:val="21"/>
          <w:color w:val="000000"/>
        </w:rPr>
        <w:softHyphen/>
        <w:t>тается международный договор. Как в отдельных государствах, так и в рамках интеграционных объединений наблюдается реальный дефицит междисципли</w:t>
      </w:r>
      <w:r>
        <w:rPr>
          <w:rStyle w:val="21"/>
          <w:color w:val="000000"/>
        </w:rPr>
        <w:softHyphen/>
        <w:t>нарных исследований, предметом которых выступили бы поиск и обоснование новых правовых инструментов сближения правовых систем в условиях углуб</w:t>
      </w:r>
      <w:r>
        <w:rPr>
          <w:rStyle w:val="21"/>
          <w:color w:val="000000"/>
        </w:rPr>
        <w:softHyphen/>
        <w:t>ления интеграции.</w:t>
      </w:r>
    </w:p>
    <w:p w14:paraId="7822F8FC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Неудачные попытки принятия модельных процессуальных кодексов не только надолго исключили из актуальной повестки такой самостоятельный ин</w:t>
      </w:r>
      <w:r>
        <w:rPr>
          <w:rStyle w:val="21"/>
          <w:color w:val="000000"/>
        </w:rPr>
        <w:softHyphen/>
        <w:t>струмент сближения, как модельный закон, но и привели к снижению общест</w:t>
      </w:r>
      <w:r>
        <w:rPr>
          <w:rStyle w:val="21"/>
          <w:color w:val="000000"/>
        </w:rPr>
        <w:softHyphen/>
        <w:t>венного внимания к научной дискуссии по проблемным вопросам сближения. На сегодня в отечественной науке почти полностью отсутствует дискуссия по вопросу об адекватной модели сближения правовых систем государств-членов ЕАЭС, о преимуществах и недостатках предлагаемых в учредительных доку</w:t>
      </w:r>
      <w:r>
        <w:rPr>
          <w:rStyle w:val="21"/>
          <w:color w:val="000000"/>
        </w:rPr>
        <w:softHyphen/>
        <w:t>ментах правовых инструментов сближения.</w:t>
      </w:r>
    </w:p>
    <w:p w14:paraId="70B6CB90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Впрочем, такое положение дел только повышает значимость научных ис</w:t>
      </w:r>
      <w:r>
        <w:rPr>
          <w:rStyle w:val="21"/>
          <w:color w:val="000000"/>
        </w:rPr>
        <w:softHyphen/>
        <w:t>следований в данной сфере, построенных на базе сравнительно-правового под</w:t>
      </w:r>
      <w:r>
        <w:rPr>
          <w:rStyle w:val="21"/>
          <w:color w:val="000000"/>
        </w:rPr>
        <w:softHyphen/>
        <w:t>хода, как и широкого научно-практического обсуждения возникающих про</w:t>
      </w:r>
      <w:r>
        <w:rPr>
          <w:rStyle w:val="21"/>
          <w:color w:val="000000"/>
        </w:rPr>
        <w:softHyphen/>
        <w:t>блем. В настоящем исследовании последовательно развивается тезис о том, что процесс сближения не всегда находится в прямой зависимости от политической воли участников того или иного интеграционного объединения. Пример экс</w:t>
      </w:r>
      <w:r>
        <w:rPr>
          <w:rStyle w:val="21"/>
          <w:color w:val="000000"/>
        </w:rPr>
        <w:softHyphen/>
        <w:t>пертной группы Марселя Шторма доказывает, что научная дискуссия и частная инициатива также могут иметь большое значение в контексте сближения права.</w:t>
      </w:r>
    </w:p>
    <w:p w14:paraId="2FAC426F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Анализ достигнутых результатов сближения на примере СНГ, ЕврАзЭС, ЕАЭС показывает, что назрело время создания подобной экспертной группы, как минимум, из государств-членов ЕАЭС для начала дискуссии о перспекти</w:t>
      </w:r>
      <w:r>
        <w:rPr>
          <w:rStyle w:val="21"/>
          <w:color w:val="000000"/>
        </w:rPr>
        <w:softHyphen/>
        <w:t>вах и направлениях сближения гражданского процесса. При этом отсутствие межгосударственных проектов в этом направлении должно являться не препят</w:t>
      </w:r>
      <w:r>
        <w:rPr>
          <w:rStyle w:val="21"/>
          <w:color w:val="000000"/>
        </w:rPr>
        <w:softHyphen/>
        <w:t>ствием, а, скорее, стимулом для частной инициативы.</w:t>
      </w:r>
    </w:p>
    <w:p w14:paraId="7E7D5E2F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Подробное рассмотрение действующих многосторонних соглашений в сфере гражданского процесса на постсоветском пространстве показало наличие </w:t>
      </w:r>
      <w:r>
        <w:rPr>
          <w:rStyle w:val="21"/>
          <w:color w:val="000000"/>
        </w:rPr>
        <w:lastRenderedPageBreak/>
        <w:t>серьезных противоречий в их содержании. Более того, можно утверждать, что по многим аспектам имеющееся международно-правовое регулирование времен СНГ не отвечает не только общемировым тенденциям развития гражданского процесса, но и даже обновленному национальному процессуальному регулиро</w:t>
      </w:r>
      <w:r>
        <w:rPr>
          <w:rStyle w:val="21"/>
          <w:color w:val="000000"/>
        </w:rPr>
        <w:softHyphen/>
        <w:t>ванию государств-членов ЕАЭС. Почти полное отсутствие координации разби</w:t>
      </w:r>
      <w:r>
        <w:rPr>
          <w:rStyle w:val="21"/>
          <w:color w:val="000000"/>
        </w:rPr>
        <w:softHyphen/>
        <w:t>рательства по тождественным делам в национальных и иностранных судах, придание трансграничного характера национальным нормам исключительной компетенции вместо их нейтрализации - вот только некоторые примеры такого несоответствия.</w:t>
      </w:r>
    </w:p>
    <w:p w14:paraId="2A932451" w14:textId="77777777" w:rsidR="00003F64" w:rsidRDefault="00003F64" w:rsidP="00003F64">
      <w:pPr>
        <w:pStyle w:val="210"/>
        <w:shd w:val="clear" w:color="auto" w:fill="auto"/>
        <w:ind w:firstLine="760"/>
        <w:jc w:val="both"/>
      </w:pPr>
      <w:r>
        <w:rPr>
          <w:rStyle w:val="21"/>
          <w:color w:val="000000"/>
        </w:rPr>
        <w:t>Причина подобного явления в том, что ни Киевское и Московское согла</w:t>
      </w:r>
      <w:r>
        <w:rPr>
          <w:rStyle w:val="21"/>
          <w:color w:val="000000"/>
        </w:rPr>
        <w:softHyphen/>
        <w:t>шения, ни Минская и Кишиневская конвенции не создавались специально для интеграционных объединений в целях сближения правопорядков государств- участников. Так, Киевское соглашение и Минская конвенция решали сугубо практические задачи по недопущению правового коллапса, который мог быть вызван распадом СССР. В свою очередь Московское соглашение и Кишинев</w:t>
      </w:r>
      <w:r>
        <w:rPr>
          <w:rStyle w:val="21"/>
          <w:color w:val="000000"/>
        </w:rPr>
        <w:softHyphen/>
        <w:t>ская конвенция отчасти были призваны восполнить некоторые пробелы право</w:t>
      </w:r>
      <w:r>
        <w:rPr>
          <w:rStyle w:val="21"/>
          <w:color w:val="000000"/>
        </w:rPr>
        <w:softHyphen/>
        <w:t>вого регулирования в предыдущих международных договорах, отчасти его «усовершенствовать». Количественный состав государств, ратифицировавших некоторых из этих соглашений, а также проведенный анализ их содержания по</w:t>
      </w:r>
      <w:r>
        <w:rPr>
          <w:rStyle w:val="21"/>
          <w:color w:val="000000"/>
        </w:rPr>
        <w:softHyphen/>
        <w:t>зволяет утверждать, что поставленные задачи были достигнуты не в полной ме</w:t>
      </w:r>
      <w:r>
        <w:rPr>
          <w:rStyle w:val="21"/>
          <w:color w:val="000000"/>
        </w:rPr>
        <w:softHyphen/>
        <w:t>ре.</w:t>
      </w:r>
    </w:p>
    <w:p w14:paraId="69E4F8FC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Сравнительно-правовой анализ международно-правового и внутриго</w:t>
      </w:r>
      <w:r>
        <w:rPr>
          <w:rStyle w:val="21"/>
          <w:color w:val="000000"/>
        </w:rPr>
        <w:softHyphen/>
        <w:t>сударственного регулирования таких процессуальных институтов, как между</w:t>
      </w:r>
      <w:r>
        <w:rPr>
          <w:rStyle w:val="21"/>
          <w:color w:val="000000"/>
        </w:rPr>
        <w:softHyphen/>
        <w:t>народная компетенция, приказное производство, признание решения и приве</w:t>
      </w:r>
      <w:r>
        <w:rPr>
          <w:rStyle w:val="21"/>
          <w:color w:val="000000"/>
        </w:rPr>
        <w:softHyphen/>
        <w:t>дение его в исполнение, позволяет сделать следующие выводы.</w:t>
      </w:r>
    </w:p>
    <w:p w14:paraId="1030D948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Применительно к институтам международной компетенции, признанию и приведению в исполнение иностранных судебных решений регулирование мно</w:t>
      </w:r>
      <w:r>
        <w:rPr>
          <w:rStyle w:val="21"/>
          <w:color w:val="000000"/>
        </w:rPr>
        <w:softHyphen/>
        <w:t>госторонних соглашений предполагает минимально допустимый уровень дове</w:t>
      </w:r>
      <w:r>
        <w:rPr>
          <w:rStyle w:val="21"/>
          <w:color w:val="000000"/>
        </w:rPr>
        <w:softHyphen/>
        <w:t>рия между государствами в совокупности с минимальной степенью координа</w:t>
      </w:r>
      <w:r>
        <w:rPr>
          <w:rStyle w:val="21"/>
          <w:color w:val="000000"/>
        </w:rPr>
        <w:softHyphen/>
        <w:t>ции судов интеграционного объединения. Ни одно из действующих многосто</w:t>
      </w:r>
      <w:r>
        <w:rPr>
          <w:rStyle w:val="21"/>
          <w:color w:val="000000"/>
        </w:rPr>
        <w:softHyphen/>
        <w:t>ронних соглашений не исключает возможности вынесения взаимоисключаю</w:t>
      </w:r>
      <w:r>
        <w:rPr>
          <w:rStyle w:val="21"/>
          <w:color w:val="000000"/>
        </w:rPr>
        <w:softHyphen/>
        <w:t>щих судебных решений по тождественному спору. Стоит ли говорить о том, что в масштабах интеграционного объединения такая ситуация, сложившаяся, несмотря на наличие трех многосторонних соглашений, недопустима в прин</w:t>
      </w:r>
      <w:r>
        <w:rPr>
          <w:rStyle w:val="21"/>
          <w:color w:val="000000"/>
        </w:rPr>
        <w:softHyphen/>
        <w:t>ципе.</w:t>
      </w:r>
    </w:p>
    <w:p w14:paraId="3D0C4AB1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свою очередь поступательное движение евразийской интеграции не в полной мере отражается на механизме признания и приведения в исполнение иностранных судебных решений. Речь в данном случае идет даже не о допус</w:t>
      </w:r>
      <w:r>
        <w:rPr>
          <w:rStyle w:val="21"/>
          <w:color w:val="000000"/>
        </w:rPr>
        <w:softHyphen/>
        <w:t>тимости обсуждения перспектив отказа от процедуры экзекватуры внутри ЕА- ЭС, а о том, что различные действующие многосторонние соглашения преду</w:t>
      </w:r>
      <w:r>
        <w:rPr>
          <w:rStyle w:val="21"/>
          <w:color w:val="000000"/>
        </w:rPr>
        <w:softHyphen/>
        <w:t xml:space="preserve">сматривают собственные механизмы с отличающимися основаниями к отказу. В исследовании продемонстрирована ситуация, когда одно и то же судебное решение внутри ЕАЭС в одних случаях подлежит проверке </w:t>
      </w:r>
      <w:r>
        <w:rPr>
          <w:rStyle w:val="21"/>
          <w:color w:val="000000"/>
          <w:lang w:val="en-US" w:eastAsia="en-US"/>
        </w:rPr>
        <w:t>ordre</w:t>
      </w:r>
      <w:r w:rsidRPr="00003F6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public</w:t>
      </w:r>
      <w:r w:rsidRPr="00003F64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а в других нет. Такие моменты создают неопределенность для граждан и организа</w:t>
      </w:r>
      <w:r>
        <w:rPr>
          <w:rStyle w:val="21"/>
          <w:color w:val="000000"/>
        </w:rPr>
        <w:softHyphen/>
        <w:t>ций и ведут к росту транзакционных издержек.</w:t>
      </w:r>
    </w:p>
    <w:p w14:paraId="1B9A303C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В части судебного приказа в работе последовательно доказывается не</w:t>
      </w:r>
      <w:r>
        <w:rPr>
          <w:rStyle w:val="21"/>
          <w:color w:val="000000"/>
        </w:rPr>
        <w:softHyphen/>
        <w:t>обоснованность избранного национальными законодателями подхода добро</w:t>
      </w:r>
      <w:r>
        <w:rPr>
          <w:rStyle w:val="21"/>
          <w:color w:val="000000"/>
        </w:rPr>
        <w:softHyphen/>
        <w:t>вольно ограничить трансграничный характер очень востребованного в эконо</w:t>
      </w:r>
      <w:r>
        <w:rPr>
          <w:rStyle w:val="21"/>
          <w:color w:val="000000"/>
        </w:rPr>
        <w:softHyphen/>
        <w:t>миках всех без исключения членов ЕАЭС такого вида упрощенного производ</w:t>
      </w:r>
      <w:r>
        <w:rPr>
          <w:rStyle w:val="21"/>
          <w:color w:val="000000"/>
        </w:rPr>
        <w:softHyphen/>
        <w:t>ства, как судебный приказ.</w:t>
      </w:r>
    </w:p>
    <w:p w14:paraId="05392FAA" w14:textId="77777777" w:rsidR="00003F64" w:rsidRDefault="00003F64" w:rsidP="00003F64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lastRenderedPageBreak/>
        <w:t>Сравнительный анализ норм союзных правопорядков показал отсутствие серьезных различий в правовом регулировании, что может существенно спо</w:t>
      </w:r>
      <w:r>
        <w:rPr>
          <w:rStyle w:val="21"/>
          <w:color w:val="000000"/>
        </w:rPr>
        <w:softHyphen/>
        <w:t>собствовать изменению сложившейся ситуации. Такое изменение потребует некоторой корректировки классического доктринального понимания судебного извещения стороны ответчика и законодательства. Придание трансграничного характера приказному производству в свою очередь обусловливает необходи</w:t>
      </w:r>
      <w:r>
        <w:rPr>
          <w:rStyle w:val="21"/>
          <w:color w:val="000000"/>
        </w:rPr>
        <w:softHyphen/>
        <w:t>мость единообразного решения (на уровне многостороннего соглашения) во</w:t>
      </w:r>
      <w:r>
        <w:rPr>
          <w:rStyle w:val="21"/>
          <w:color w:val="000000"/>
        </w:rPr>
        <w:softHyphen/>
        <w:t>проса о признании и приведении в исполнение иностранных судебных приказов внутри ЕАЭС.</w:t>
      </w:r>
    </w:p>
    <w:p w14:paraId="7DE63344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Проведенное исследование показало, что недостаток общественного и научного обсуждения проблем сближения и используемых инструментов, а также отсутствие средне- и долгосрочных программ развития в сфере юстиции в ЕАЭС в конечном счете приводит к обращению отдельных государств к ста</w:t>
      </w:r>
      <w:r>
        <w:rPr>
          <w:rStyle w:val="21"/>
          <w:color w:val="000000"/>
        </w:rPr>
        <w:softHyphen/>
        <w:t>рейшему правовому инструменту - рецепции (трансплантации) права. Пример Казахстана - наглядное тому подтверждение. Для интеграционного объедине</w:t>
      </w:r>
      <w:r>
        <w:rPr>
          <w:rStyle w:val="21"/>
          <w:color w:val="000000"/>
        </w:rPr>
        <w:softHyphen/>
        <w:t>ния это весьма тревожный сигнал, поскольку данный правовой инструмент предполагает сближение только двух правопорядков - донора и реципиента - что в корне противоречит задачам сближения правопорядков членов ЕАЭС ме</w:t>
      </w:r>
      <w:r>
        <w:rPr>
          <w:rStyle w:val="21"/>
          <w:color w:val="000000"/>
        </w:rPr>
        <w:softHyphen/>
        <w:t>жду собой.</w:t>
      </w:r>
    </w:p>
    <w:p w14:paraId="0349C5D9" w14:textId="77777777" w:rsidR="00003F64" w:rsidRDefault="00003F64" w:rsidP="00074C2F">
      <w:pPr>
        <w:pStyle w:val="21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По результатам диссертационного исследования сделан вывод о том, что хотя сближение гражданского процесса стран-участников ЕАЭС находится в самом начале, общая история, высокая степень разработанности дореволюци</w:t>
      </w:r>
      <w:r>
        <w:rPr>
          <w:rStyle w:val="21"/>
          <w:color w:val="000000"/>
        </w:rPr>
        <w:softHyphen/>
        <w:t>онной и советской процессуальной доктрины, существующие экономические и хозяйственные связи государств-членов, позволяют с оптимизмом смотреть в будущее. Важное значение в связи с этим приобретает подготовительный этап процесса сближения, включающий в себя сравнительно-правовые научные ис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следования существующего правового регулирования в сфере гражданского процесса государств-членов ЕАЭС и направлений, хода национальных реформ, а также анализ подходящих инструментов сближения и выбор процессуальных институтов, нуждающихся в сближении.</w:t>
      </w:r>
    </w:p>
    <w:p w14:paraId="310872A4" w14:textId="77777777" w:rsidR="00003F64" w:rsidRPr="00003F64" w:rsidRDefault="00003F64" w:rsidP="00003F64"/>
    <w:sectPr w:rsidR="00003F64" w:rsidRPr="00003F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90A7" w14:textId="77777777" w:rsidR="00074C2F" w:rsidRDefault="00074C2F">
      <w:pPr>
        <w:spacing w:after="0" w:line="240" w:lineRule="auto"/>
      </w:pPr>
      <w:r>
        <w:separator/>
      </w:r>
    </w:p>
  </w:endnote>
  <w:endnote w:type="continuationSeparator" w:id="0">
    <w:p w14:paraId="72F53B8D" w14:textId="77777777" w:rsidR="00074C2F" w:rsidRDefault="0007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B41C" w14:textId="77777777" w:rsidR="00074C2F" w:rsidRDefault="00074C2F">
      <w:pPr>
        <w:spacing w:after="0" w:line="240" w:lineRule="auto"/>
      </w:pPr>
      <w:r>
        <w:separator/>
      </w:r>
    </w:p>
  </w:footnote>
  <w:footnote w:type="continuationSeparator" w:id="0">
    <w:p w14:paraId="25570245" w14:textId="77777777" w:rsidR="00074C2F" w:rsidRDefault="0007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4C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2F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69615</TotalTime>
  <Pages>16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</cp:revision>
  <dcterms:created xsi:type="dcterms:W3CDTF">2024-06-20T08:51:00Z</dcterms:created>
  <dcterms:modified xsi:type="dcterms:W3CDTF">2024-09-01T12:16:00Z</dcterms:modified>
  <cp:category/>
</cp:coreProperties>
</file>