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2D1FD9" w:rsidRDefault="002D1FD9" w:rsidP="002D1FD9">
      <w:r w:rsidRPr="00553126">
        <w:rPr>
          <w:rFonts w:ascii="Times New Roman" w:eastAsia="Times New Roman" w:hAnsi="Times New Roman" w:cs="Times New Roman"/>
          <w:b/>
          <w:sz w:val="24"/>
          <w:szCs w:val="24"/>
          <w:lang w:eastAsia="ru-RU"/>
        </w:rPr>
        <w:t>Дубровський Юрій Володимирович</w:t>
      </w:r>
      <w:r w:rsidRPr="00553126">
        <w:rPr>
          <w:rFonts w:ascii="Times New Roman" w:eastAsia="Times New Roman" w:hAnsi="Times New Roman" w:cs="Times New Roman"/>
          <w:sz w:val="24"/>
          <w:szCs w:val="24"/>
          <w:lang w:eastAsia="ru-RU"/>
        </w:rPr>
        <w:t xml:space="preserve">, провідний інженер </w:t>
      </w:r>
      <w:r w:rsidRPr="00553126">
        <w:rPr>
          <w:rFonts w:ascii="Times New Roman" w:eastAsia="Times New Roman" w:hAnsi="Times New Roman" w:cs="Times New Roman"/>
          <w:bCs/>
          <w:color w:val="000000"/>
          <w:sz w:val="24"/>
          <w:szCs w:val="24"/>
          <w:shd w:val="clear" w:color="auto" w:fill="FFFFFF"/>
          <w:lang w:eastAsia="ru-RU"/>
        </w:rPr>
        <w:t>лабораторії охорони та відтворення біорізноманіття</w:t>
      </w:r>
      <w:r w:rsidRPr="00553126">
        <w:rPr>
          <w:rFonts w:ascii="Times New Roman" w:eastAsia="Calibri" w:hAnsi="Times New Roman" w:cs="Times New Roman"/>
          <w:sz w:val="24"/>
          <w:szCs w:val="24"/>
        </w:rPr>
        <w:t xml:space="preserve"> Інституту еволюційної екології НАН України</w:t>
      </w:r>
      <w:r w:rsidRPr="00553126">
        <w:rPr>
          <w:rFonts w:ascii="Times New Roman" w:eastAsia="Times New Roman" w:hAnsi="Times New Roman" w:cs="Times New Roman"/>
          <w:sz w:val="24"/>
          <w:szCs w:val="24"/>
          <w:lang w:eastAsia="ru-RU"/>
        </w:rPr>
        <w:t xml:space="preserve">. </w:t>
      </w:r>
      <w:r w:rsidRPr="00553126">
        <w:rPr>
          <w:rFonts w:ascii="Times New Roman" w:eastAsia="Times New Roman" w:hAnsi="Times New Roman" w:cs="Times New Roman"/>
          <w:bCs/>
          <w:iCs/>
          <w:sz w:val="24"/>
          <w:szCs w:val="24"/>
          <w:lang w:eastAsia="ru-RU"/>
        </w:rPr>
        <w:t>Назва дисертації</w:t>
      </w:r>
      <w:r w:rsidRPr="00553126">
        <w:rPr>
          <w:rFonts w:ascii="Times New Roman" w:eastAsia="Times New Roman" w:hAnsi="Times New Roman" w:cs="Times New Roman"/>
          <w:sz w:val="24"/>
          <w:szCs w:val="24"/>
          <w:lang w:eastAsia="ru-RU"/>
        </w:rPr>
        <w:t xml:space="preserve">: «Біопродуктивність  руслових  ставків  лісостепової зони  України  та  їх  природоохоронне  значення». </w:t>
      </w:r>
      <w:r w:rsidRPr="00553126">
        <w:rPr>
          <w:rFonts w:ascii="Times New Roman" w:eastAsia="Times New Roman" w:hAnsi="Times New Roman" w:cs="Times New Roman"/>
          <w:bCs/>
          <w:iCs/>
          <w:sz w:val="24"/>
          <w:szCs w:val="24"/>
          <w:lang w:eastAsia="ru-RU"/>
        </w:rPr>
        <w:t>Шифр та назва спеціальності</w:t>
      </w:r>
      <w:r w:rsidRPr="00553126">
        <w:rPr>
          <w:rFonts w:ascii="Times New Roman" w:eastAsia="Times New Roman" w:hAnsi="Times New Roman" w:cs="Times New Roman"/>
          <w:b/>
          <w:i/>
          <w:sz w:val="24"/>
          <w:szCs w:val="24"/>
          <w:lang w:eastAsia="ru-RU"/>
        </w:rPr>
        <w:t xml:space="preserve"> –</w:t>
      </w:r>
      <w:r w:rsidRPr="00553126">
        <w:rPr>
          <w:rFonts w:ascii="Times New Roman" w:eastAsia="Times New Roman" w:hAnsi="Times New Roman" w:cs="Times New Roman"/>
          <w:sz w:val="24"/>
          <w:szCs w:val="24"/>
          <w:lang w:eastAsia="ru-RU"/>
        </w:rPr>
        <w:t xml:space="preserve"> 03.00.17 – гідробіологія. Спецрада Д 26.213.01 Інституту гідробіології</w:t>
      </w:r>
    </w:p>
    <w:sectPr w:rsidR="00F95DD1" w:rsidRPr="002D1FD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2D1FD9" w:rsidRPr="002D1FD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AFD5F-6F7A-4063-BB19-15D79142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54</Words>
  <Characters>313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2021-03-04T13:15:00Z</dcterms:created>
  <dcterms:modified xsi:type="dcterms:W3CDTF">2021-03-04T14:16:00Z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