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2B39" w14:textId="04C5A18E" w:rsidR="00AE342C" w:rsidRDefault="00482AA0" w:rsidP="00482A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Качеровська Тетяна Василівна. Навчально-ігрове проектування у професійній підготовці майбутніх менеджерів організацій : дис... канд. пед. наук: 13.00.04 / Південноукраїнський держ. педагогічний ун-т ім. К.Д.Ушинського (м. Одеса). — О., 2005. — 278арк. — Бібліогр.: арк. 188-206</w:t>
      </w:r>
    </w:p>
    <w:p w14:paraId="03B0940B" w14:textId="77777777" w:rsidR="00482AA0" w:rsidRPr="00482AA0" w:rsidRDefault="00482AA0" w:rsidP="00482A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Качеровська Т.В. Навчально-ігрове проектування у професійній підготовці майбутніх менеджерів організацій. – </w:t>
      </w:r>
      <w:r w:rsidRPr="00482AA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82C189A" w14:textId="77777777" w:rsidR="00482AA0" w:rsidRPr="00482AA0" w:rsidRDefault="00482AA0" w:rsidP="00482A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2A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</w:t>
      </w:r>
      <w:r w:rsidRPr="00482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482AA0">
        <w:rPr>
          <w:rFonts w:ascii="Times New Roman" w:eastAsia="Times New Roman" w:hAnsi="Times New Roman" w:cs="Times New Roman"/>
          <w:color w:val="000000"/>
          <w:sz w:val="27"/>
          <w:szCs w:val="27"/>
        </w:rPr>
        <w:t>00.04 – теорія і методика професійної освіти. – Південноукраїнський державний педагогічний університет імені К.Д.Ушинського (м. Одеса), Одеса, 2005.</w:t>
      </w:r>
    </w:p>
    <w:p w14:paraId="3EB8A509" w14:textId="77777777" w:rsidR="00482AA0" w:rsidRPr="00482AA0" w:rsidRDefault="00482AA0" w:rsidP="00482A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2A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застосування навчально-ігрового проектування у професійній підготовці майбутніх менеджерів організацій. Виявлено показники та критерії оцінки професійної підготовленості майбутніх фахівців на початковому етапі навчання; визначено і науково обґрунтовано сутність поняття “навчально-ігрове проектування”; конкретизовано структуру й алгоритм ігрового проектування. Обґрунтовано й експериментально апробовано модель застосування навчально-ігрового проектування у процесі професійної підготовки майбутніх менеджерів організацій. Встановлено, за яких педагогічних умов ця модель може бути реалізована у практиці вищих закладів освіти.</w:t>
      </w:r>
    </w:p>
    <w:p w14:paraId="2CD3857A" w14:textId="77777777" w:rsidR="00482AA0" w:rsidRPr="00482AA0" w:rsidRDefault="00482AA0" w:rsidP="00482AA0"/>
    <w:sectPr w:rsidR="00482AA0" w:rsidRPr="00482A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ABF7" w14:textId="77777777" w:rsidR="00AE7CA4" w:rsidRDefault="00AE7CA4">
      <w:pPr>
        <w:spacing w:after="0" w:line="240" w:lineRule="auto"/>
      </w:pPr>
      <w:r>
        <w:separator/>
      </w:r>
    </w:p>
  </w:endnote>
  <w:endnote w:type="continuationSeparator" w:id="0">
    <w:p w14:paraId="12FAC562" w14:textId="77777777" w:rsidR="00AE7CA4" w:rsidRDefault="00AE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1547" w14:textId="77777777" w:rsidR="00AE7CA4" w:rsidRDefault="00AE7CA4">
      <w:pPr>
        <w:spacing w:after="0" w:line="240" w:lineRule="auto"/>
      </w:pPr>
      <w:r>
        <w:separator/>
      </w:r>
    </w:p>
  </w:footnote>
  <w:footnote w:type="continuationSeparator" w:id="0">
    <w:p w14:paraId="67ED535C" w14:textId="77777777" w:rsidR="00AE7CA4" w:rsidRDefault="00AE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C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8"/>
  </w:num>
  <w:num w:numId="5">
    <w:abstractNumId w:val="24"/>
  </w:num>
  <w:num w:numId="6">
    <w:abstractNumId w:val="20"/>
  </w:num>
  <w:num w:numId="7">
    <w:abstractNumId w:val="7"/>
  </w:num>
  <w:num w:numId="8">
    <w:abstractNumId w:val="1"/>
  </w:num>
  <w:num w:numId="9">
    <w:abstractNumId w:val="3"/>
  </w:num>
  <w:num w:numId="10">
    <w:abstractNumId w:val="22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19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  <w:num w:numId="23">
    <w:abstractNumId w:val="16"/>
  </w:num>
  <w:num w:numId="24">
    <w:abstractNumId w:val="15"/>
  </w:num>
  <w:num w:numId="25">
    <w:abstractNumId w:val="12"/>
  </w:num>
  <w:num w:numId="26">
    <w:abstractNumId w:val="17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CA4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6107</cp:revision>
  <dcterms:created xsi:type="dcterms:W3CDTF">2024-06-20T08:51:00Z</dcterms:created>
  <dcterms:modified xsi:type="dcterms:W3CDTF">2024-07-22T09:54:00Z</dcterms:modified>
  <cp:category/>
</cp:coreProperties>
</file>