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717E" w14:textId="77777777" w:rsidR="00667D0F" w:rsidRDefault="00667D0F" w:rsidP="00667D0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Демешкин, Александр Григорьевич.</w:t>
      </w:r>
      <w:r>
        <w:rPr>
          <w:rFonts w:ascii="Helvetica" w:hAnsi="Helvetica" w:cs="Helvetica"/>
          <w:color w:val="222222"/>
          <w:sz w:val="21"/>
          <w:szCs w:val="21"/>
        </w:rPr>
        <w:br/>
      </w:r>
      <w:r>
        <w:rPr>
          <w:rStyle w:val="js-item-maininfo"/>
          <w:rFonts w:ascii="Helvetica" w:hAnsi="Helvetica" w:cs="Helvetica"/>
          <w:b/>
          <w:bCs/>
          <w:color w:val="222222"/>
          <w:sz w:val="21"/>
          <w:szCs w:val="21"/>
        </w:rPr>
        <w:t>Краевые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эффекты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волокнистых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композитах</w:t>
      </w:r>
      <w:r>
        <w:rPr>
          <w:rStyle w:val="js-item-maininfo"/>
          <w:rFonts w:ascii="Helvetica" w:hAnsi="Helvetica" w:cs="Helvetica"/>
          <w:color w:val="222222"/>
          <w:sz w:val="21"/>
          <w:szCs w:val="21"/>
        </w:rPr>
        <w:t> : диссертация ... кандидата физико-математических наук : 01.02.04. - Новосибирск, 1984. - 112 с. : ил.</w:t>
      </w:r>
      <w:r>
        <w:rPr>
          <w:rStyle w:val="search-descr"/>
          <w:rFonts w:ascii="Helvetica" w:hAnsi="Helvetica" w:cs="Helvetica"/>
          <w:color w:val="222222"/>
          <w:sz w:val="21"/>
          <w:szCs w:val="21"/>
        </w:rPr>
        <w:t>больше</w:t>
      </w:r>
    </w:p>
    <w:p w14:paraId="3A04B761" w14:textId="77777777" w:rsidR="00667D0F" w:rsidRDefault="00667D0F" w:rsidP="00667D0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1FBDE73" w14:textId="77777777" w:rsidR="00667D0F" w:rsidRDefault="00667D0F" w:rsidP="000126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691D64B" w14:textId="77777777" w:rsidR="00667D0F" w:rsidRDefault="00667D0F" w:rsidP="00667D0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М.А.Лаврентьева На правах рукописи </w:t>
      </w:r>
      <w:r>
        <w:rPr>
          <w:rFonts w:ascii="Helvetica" w:hAnsi="Helvetica" w:cs="Helvetica"/>
          <w:b/>
          <w:bCs/>
          <w:color w:val="222222"/>
          <w:sz w:val="21"/>
          <w:szCs w:val="21"/>
        </w:rPr>
        <w:t>Демешкин</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Григорьевич</w:t>
      </w:r>
      <w:r>
        <w:rPr>
          <w:rFonts w:ascii="Helvetica" w:hAnsi="Helvetica" w:cs="Helvetica"/>
          <w:color w:val="222222"/>
          <w:sz w:val="21"/>
          <w:szCs w:val="21"/>
        </w:rPr>
        <w:t> </w:t>
      </w:r>
      <w:r>
        <w:rPr>
          <w:rFonts w:ascii="Helvetica" w:hAnsi="Helvetica" w:cs="Helvetica"/>
          <w:b/>
          <w:bCs/>
          <w:color w:val="222222"/>
          <w:sz w:val="21"/>
          <w:szCs w:val="21"/>
        </w:rPr>
        <w:t>КРАЕВЫЕ</w:t>
      </w:r>
      <w:r>
        <w:rPr>
          <w:rFonts w:ascii="Helvetica" w:hAnsi="Helvetica" w:cs="Helvetica"/>
          <w:color w:val="222222"/>
          <w:sz w:val="21"/>
          <w:szCs w:val="21"/>
        </w:rPr>
        <w:t> ЭФФЖТЫ В </w:t>
      </w:r>
      <w:r>
        <w:rPr>
          <w:rFonts w:ascii="Helvetica" w:hAnsi="Helvetica" w:cs="Helvetica"/>
          <w:b/>
          <w:bCs/>
          <w:color w:val="222222"/>
          <w:sz w:val="21"/>
          <w:szCs w:val="21"/>
        </w:rPr>
        <w:t>ВОЛОКНИСТЫХ</w:t>
      </w:r>
      <w:r>
        <w:rPr>
          <w:rFonts w:ascii="Helvetica" w:hAnsi="Helvetica" w:cs="Helvetica"/>
          <w:color w:val="222222"/>
          <w:sz w:val="21"/>
          <w:szCs w:val="21"/>
        </w:rPr>
        <w:t> </w:t>
      </w:r>
      <w:r>
        <w:rPr>
          <w:rFonts w:ascii="Helvetica" w:hAnsi="Helvetica" w:cs="Helvetica"/>
          <w:b/>
          <w:bCs/>
          <w:color w:val="222222"/>
          <w:sz w:val="21"/>
          <w:szCs w:val="21"/>
        </w:rPr>
        <w:t>КОМПОЗИТАХ</w:t>
      </w:r>
      <w:r>
        <w:rPr>
          <w:rFonts w:ascii="Helvetica" w:hAnsi="Helvetica" w:cs="Helvetica"/>
          <w:color w:val="222222"/>
          <w:sz w:val="21"/>
          <w:szCs w:val="21"/>
        </w:rPr>
        <w:t> Специальность 01.02.04 - механика деформируемого твердого</w:t>
      </w:r>
    </w:p>
    <w:p w14:paraId="73D6C007" w14:textId="77777777" w:rsidR="00667D0F" w:rsidRDefault="00667D0F" w:rsidP="000126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w:t>
      </w:r>
    </w:p>
    <w:p w14:paraId="1091C302" w14:textId="77777777" w:rsidR="00667D0F" w:rsidRDefault="00667D0F" w:rsidP="00667D0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матрицей. 17 § 3. Результаты экспериментов по определению зоны </w:t>
      </w:r>
      <w:r>
        <w:rPr>
          <w:rFonts w:ascii="Helvetica" w:hAnsi="Helvetica" w:cs="Helvetica"/>
          <w:b/>
          <w:bCs/>
          <w:color w:val="222222"/>
          <w:sz w:val="21"/>
          <w:szCs w:val="21"/>
        </w:rPr>
        <w:t>краевого</w:t>
      </w:r>
      <w:r>
        <w:rPr>
          <w:rFonts w:ascii="Helvetica" w:hAnsi="Helvetica" w:cs="Helvetica"/>
          <w:color w:val="222222"/>
          <w:sz w:val="21"/>
          <w:szCs w:val="21"/>
        </w:rPr>
        <w:t> </w:t>
      </w:r>
      <w:r>
        <w:rPr>
          <w:rFonts w:ascii="Helvetica" w:hAnsi="Helvetica" w:cs="Helvetica"/>
          <w:b/>
          <w:bCs/>
          <w:color w:val="222222"/>
          <w:sz w:val="21"/>
          <w:szCs w:val="21"/>
        </w:rPr>
        <w:t>эффекта</w:t>
      </w:r>
      <w:r>
        <w:rPr>
          <w:rFonts w:ascii="Helvetica" w:hAnsi="Helvetica" w:cs="Helvetica"/>
          <w:color w:val="222222"/>
          <w:sz w:val="21"/>
          <w:szCs w:val="21"/>
        </w:rPr>
        <w:t> в зависимости от анизотропии </w:t>
      </w:r>
      <w:r>
        <w:rPr>
          <w:rFonts w:ascii="Helvetica" w:hAnsi="Helvetica" w:cs="Helvetica"/>
          <w:b/>
          <w:bCs/>
          <w:color w:val="222222"/>
          <w:sz w:val="21"/>
          <w:szCs w:val="21"/>
        </w:rPr>
        <w:t>композита</w:t>
      </w:r>
      <w:r>
        <w:rPr>
          <w:rFonts w:ascii="Helvetica" w:hAnsi="Helvetica" w:cs="Helvetica"/>
          <w:color w:val="222222"/>
          <w:sz w:val="21"/>
          <w:szCs w:val="21"/>
        </w:rPr>
        <w:t>. а. Однонаправленный </w:t>
      </w:r>
      <w:r>
        <w:rPr>
          <w:rFonts w:ascii="Helvetica" w:hAnsi="Helvetica" w:cs="Helvetica"/>
          <w:b/>
          <w:bCs/>
          <w:color w:val="222222"/>
          <w:sz w:val="21"/>
          <w:szCs w:val="21"/>
        </w:rPr>
        <w:t>композит</w:t>
      </w:r>
      <w:r>
        <w:rPr>
          <w:rFonts w:ascii="Helvetica" w:hAnsi="Helvetica" w:cs="Helvetica"/>
          <w:color w:val="222222"/>
          <w:sz w:val="21"/>
          <w:szCs w:val="21"/>
        </w:rPr>
        <w:t>. При определении зоны </w:t>
      </w:r>
      <w:r>
        <w:rPr>
          <w:rFonts w:ascii="Helvetica" w:hAnsi="Helvetica" w:cs="Helvetica"/>
          <w:b/>
          <w:bCs/>
          <w:color w:val="222222"/>
          <w:sz w:val="21"/>
          <w:szCs w:val="21"/>
        </w:rPr>
        <w:t>краевого</w:t>
      </w:r>
      <w:r>
        <w:rPr>
          <w:rFonts w:ascii="Helvetica" w:hAnsi="Helvetica" w:cs="Helvetica"/>
          <w:color w:val="222222"/>
          <w:sz w:val="21"/>
          <w:szCs w:val="21"/>
        </w:rPr>
        <w:t> </w:t>
      </w:r>
      <w:r>
        <w:rPr>
          <w:rFonts w:ascii="Helvetica" w:hAnsi="Helvetica" w:cs="Helvetica"/>
          <w:b/>
          <w:bCs/>
          <w:color w:val="222222"/>
          <w:sz w:val="21"/>
          <w:szCs w:val="21"/>
        </w:rPr>
        <w:t>эффекта</w:t>
      </w:r>
      <w:r>
        <w:rPr>
          <w:rFonts w:ascii="Helvetica" w:hAnsi="Helvetica" w:cs="Helvetica"/>
          <w:color w:val="222222"/>
          <w:sz w:val="21"/>
          <w:szCs w:val="21"/>
        </w:rPr>
        <w:t> от самоуравновешенной нагрузки (рис.1.1) в однонаправленных </w:t>
      </w:r>
      <w:r>
        <w:rPr>
          <w:rFonts w:ascii="Helvetica" w:hAnsi="Helvetica" w:cs="Helvetica"/>
          <w:b/>
          <w:bCs/>
          <w:color w:val="222222"/>
          <w:sz w:val="21"/>
          <w:szCs w:val="21"/>
        </w:rPr>
        <w:t>композитах</w:t>
      </w:r>
      <w:r>
        <w:rPr>
          <w:rFonts w:ascii="Helvetica" w:hAnsi="Helvetica" w:cs="Helvetica"/>
          <w:color w:val="222222"/>
          <w:sz w:val="21"/>
          <w:szCs w:val="21"/>
        </w:rPr>
        <w:t> испытывалось десять образцов [15] . Общий</w:t>
      </w:r>
    </w:p>
    <w:p w14:paraId="42F2DDF2" w14:textId="77777777" w:rsidR="00667D0F" w:rsidRDefault="00667D0F" w:rsidP="00012694">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47</w:t>
      </w:r>
    </w:p>
    <w:p w14:paraId="7A396BEB" w14:textId="77777777" w:rsidR="00667D0F" w:rsidRDefault="00667D0F" w:rsidP="00667D0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образцов • - ортогональное армирование X - однонаправленное армирование о - зависимость l^j^ =^Ei/&amp;^^ 48 Глава 2 </w:t>
      </w:r>
      <w:r>
        <w:rPr>
          <w:rFonts w:ascii="Helvetica" w:hAnsi="Helvetica" w:cs="Helvetica"/>
          <w:b/>
          <w:bCs/>
          <w:color w:val="222222"/>
          <w:sz w:val="21"/>
          <w:szCs w:val="21"/>
        </w:rPr>
        <w:t>КРАЕВОЙ</w:t>
      </w:r>
      <w:r>
        <w:rPr>
          <w:rFonts w:ascii="Helvetica" w:hAnsi="Helvetica" w:cs="Helvetica"/>
          <w:color w:val="222222"/>
          <w:sz w:val="21"/>
          <w:szCs w:val="21"/>
        </w:rPr>
        <w:t> </w:t>
      </w:r>
      <w:r>
        <w:rPr>
          <w:rFonts w:ascii="Helvetica" w:hAnsi="Helvetica" w:cs="Helvetica"/>
          <w:b/>
          <w:bCs/>
          <w:color w:val="222222"/>
          <w:sz w:val="21"/>
          <w:szCs w:val="21"/>
        </w:rPr>
        <w:t>ЭФФЕКТ</w:t>
      </w:r>
      <w:r>
        <w:rPr>
          <w:rFonts w:ascii="Helvetica" w:hAnsi="Helvetica" w:cs="Helvetica"/>
          <w:color w:val="222222"/>
          <w:sz w:val="21"/>
          <w:szCs w:val="21"/>
        </w:rPr>
        <w:t> С УЧЕТОМ СТРУКТУШ И АНИЗОТРОПИИ ОДНОНАПРАМЕШОГО </w:t>
      </w:r>
      <w:r>
        <w:rPr>
          <w:rFonts w:ascii="Helvetica" w:hAnsi="Helvetica" w:cs="Helvetica"/>
          <w:b/>
          <w:bCs/>
          <w:color w:val="222222"/>
          <w:sz w:val="21"/>
          <w:szCs w:val="21"/>
        </w:rPr>
        <w:t>КОМПОЗИТА</w:t>
      </w:r>
      <w:r>
        <w:rPr>
          <w:rFonts w:ascii="Helvetica" w:hAnsi="Helvetica" w:cs="Helvetica"/>
          <w:color w:val="222222"/>
          <w:sz w:val="21"/>
          <w:szCs w:val="21"/>
        </w:rPr>
        <w:t> Зона </w:t>
      </w:r>
      <w:r>
        <w:rPr>
          <w:rFonts w:ascii="Helvetica" w:hAnsi="Helvetica" w:cs="Helvetica"/>
          <w:b/>
          <w:bCs/>
          <w:color w:val="222222"/>
          <w:sz w:val="21"/>
          <w:szCs w:val="21"/>
        </w:rPr>
        <w:t>краевого</w:t>
      </w:r>
      <w:r>
        <w:rPr>
          <w:rFonts w:ascii="Helvetica" w:hAnsi="Helvetica" w:cs="Helvetica"/>
          <w:color w:val="222222"/>
          <w:sz w:val="21"/>
          <w:szCs w:val="21"/>
        </w:rPr>
        <w:t> </w:t>
      </w:r>
      <w:r>
        <w:rPr>
          <w:rFonts w:ascii="Helvetica" w:hAnsi="Helvetica" w:cs="Helvetica"/>
          <w:b/>
          <w:bCs/>
          <w:color w:val="222222"/>
          <w:sz w:val="21"/>
          <w:szCs w:val="21"/>
        </w:rPr>
        <w:t>эффекта</w:t>
      </w:r>
      <w:r>
        <w:rPr>
          <w:rFonts w:ascii="Helvetica" w:hAnsi="Helvetica" w:cs="Helvetica"/>
          <w:color w:val="222222"/>
          <w:sz w:val="21"/>
          <w:szCs w:val="21"/>
        </w:rPr>
        <w:t> в </w:t>
      </w:r>
      <w:r>
        <w:rPr>
          <w:rFonts w:ascii="Helvetica" w:hAnsi="Helvetica" w:cs="Helvetica"/>
          <w:b/>
          <w:bCs/>
          <w:color w:val="222222"/>
          <w:sz w:val="21"/>
          <w:szCs w:val="21"/>
        </w:rPr>
        <w:t>композите</w:t>
      </w:r>
      <w:r>
        <w:rPr>
          <w:rFonts w:ascii="Helvetica" w:hAnsi="Helvetica" w:cs="Helvetica"/>
          <w:color w:val="222222"/>
          <w:sz w:val="21"/>
          <w:szCs w:val="21"/>
        </w:rPr>
        <w:t> определяется не только сте</w:t>
      </w:r>
      <w:r>
        <w:rPr>
          <w:rFonts w:ascii="Helvetica" w:hAnsi="Helvetica" w:cs="Helvetica"/>
          <w:color w:val="222222"/>
          <w:sz w:val="21"/>
          <w:szCs w:val="21"/>
        </w:rPr>
        <w:softHyphen/>
        <w:t xml:space="preserve"> пенью армирования, жесткостными характеристиками составляющих,</w:t>
      </w:r>
    </w:p>
    <w:p w14:paraId="07EE22DE" w14:textId="77777777" w:rsidR="00667D0F" w:rsidRDefault="00667D0F" w:rsidP="00012694">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5BC41F0" w14:textId="77777777" w:rsidR="00667D0F" w:rsidRDefault="00667D0F" w:rsidP="00667D0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Демешкин, Александр Григорьевич</w:t>
      </w:r>
    </w:p>
    <w:p w14:paraId="323A833B"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Ч</w:t>
      </w:r>
    </w:p>
    <w:p w14:paraId="09C94F9F"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УСЛОВНЫЕ ОБОЗНАЧЕНИЯ.</w:t>
      </w:r>
    </w:p>
    <w:p w14:paraId="0B002A6E"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КРАЕВОЙ ЭФФЕКТ В НАПРАВЛЕННО АРМИРОВАННОМ КОМПОЗИТЕ С УЧЕТОМ КОЭФФИЦИЕНТА АРМИРОВАНИЯ И ЖЕСТ-КОСТНЫХ ХАРАКТЕРИСТИК АРМАТУРЫ И СВЯЗУЮЩЕГО.</w:t>
      </w:r>
    </w:p>
    <w:p w14:paraId="2068831F"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Способ получения самоуравновешенной нагрузки в однонаправленном композите. И</w:t>
      </w:r>
    </w:p>
    <w:p w14:paraId="647B08D6"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Технология изготовления образцов. Определение зоны краевых возмущений.</w:t>
      </w:r>
    </w:p>
    <w:p w14:paraId="5F0EEC02"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Результаты экспериментов по определению зоны краевого эффекта ^ .зависимости от анизотропии композита</w:t>
      </w:r>
    </w:p>
    <w:p w14:paraId="5A80E2A4"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об определении зоны краевого эффекта в ортогонально армированном композите, нагруженном самоуравновешенной нагрузкой.</w:t>
      </w:r>
    </w:p>
    <w:p w14:paraId="1D838639"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Сопоставление результатов, полученных в данной работе, с исследованиями других авторов.</w:t>
      </w:r>
    </w:p>
    <w:p w14:paraId="59C0E79C"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88240A2"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КРАЕВОЙ ЭФФЕКТ С УЧЕТОМ СТРУКТУРЫ И АНИЗОТРОПИИ</w:t>
      </w:r>
    </w:p>
    <w:p w14:paraId="17F67573"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ОДНОНАПРАВЛЕННОГО КОМПОЗИТА.</w:t>
      </w:r>
    </w:p>
    <w:p w14:paraId="65047426"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Экспериментальное оцределение зоны паевого эффекта от частоты армировки и параметра анизотропии</w:t>
      </w:r>
    </w:p>
    <w:p w14:paraId="76E8B88F"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Плоское деформированное состояние однонаправленного композита, нагруженного самоуравновещенной системой сил.</w:t>
      </w:r>
    </w:p>
    <w:p w14:paraId="58FD2F39"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4097F7E"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ПРОХОДЯЩИЕ ВОЛНЫ И ДИНАМИЧЕСКИЙ КРАЕВОЙ ЭФФЕКТ, В АНИЗОТРОПНОЙ ПОЛОСЕ. СОПОСТАВЛЕНИЕ С ЭКСПЕРИМЕНТОМ.</w:t>
      </w:r>
    </w:p>
    <w:p w14:paraId="7B6CB9D2"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о распространении стационарного паевого режима в анизотропной полосе</w:t>
      </w:r>
    </w:p>
    <w:p w14:paraId="15219E35"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динамического краевого эффекта в ортотропнои полосе</w:t>
      </w:r>
    </w:p>
    <w:p w14:paraId="45BF26E7"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определение динамического краевого эффекта в композитном стержне</w:t>
      </w:r>
    </w:p>
    <w:p w14:paraId="514448FA" w14:textId="77777777" w:rsidR="00667D0F" w:rsidRDefault="00667D0F" w:rsidP="00667D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667D0F" w:rsidRDefault="004F7911" w:rsidP="00667D0F"/>
    <w:sectPr w:rsidR="004F7911" w:rsidRPr="00667D0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4225" w14:textId="77777777" w:rsidR="00012694" w:rsidRDefault="00012694">
      <w:pPr>
        <w:spacing w:after="0" w:line="240" w:lineRule="auto"/>
      </w:pPr>
      <w:r>
        <w:separator/>
      </w:r>
    </w:p>
  </w:endnote>
  <w:endnote w:type="continuationSeparator" w:id="0">
    <w:p w14:paraId="7CAF39E5" w14:textId="77777777" w:rsidR="00012694" w:rsidRDefault="0001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C8BF" w14:textId="77777777" w:rsidR="00012694" w:rsidRDefault="00012694"/>
    <w:p w14:paraId="26FDFB64" w14:textId="77777777" w:rsidR="00012694" w:rsidRDefault="00012694"/>
    <w:p w14:paraId="78A1E10C" w14:textId="77777777" w:rsidR="00012694" w:rsidRDefault="00012694"/>
    <w:p w14:paraId="754392A0" w14:textId="77777777" w:rsidR="00012694" w:rsidRDefault="00012694"/>
    <w:p w14:paraId="3C5CFB56" w14:textId="77777777" w:rsidR="00012694" w:rsidRDefault="00012694"/>
    <w:p w14:paraId="5622EBC8" w14:textId="77777777" w:rsidR="00012694" w:rsidRDefault="00012694"/>
    <w:p w14:paraId="14BC33D2" w14:textId="77777777" w:rsidR="00012694" w:rsidRDefault="000126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8FE11A" wp14:editId="69BB8A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F319" w14:textId="77777777" w:rsidR="00012694" w:rsidRDefault="00012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FE1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78F319" w14:textId="77777777" w:rsidR="00012694" w:rsidRDefault="000126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1CC2CD" w14:textId="77777777" w:rsidR="00012694" w:rsidRDefault="00012694"/>
    <w:p w14:paraId="5169FF33" w14:textId="77777777" w:rsidR="00012694" w:rsidRDefault="00012694"/>
    <w:p w14:paraId="6A70215D" w14:textId="77777777" w:rsidR="00012694" w:rsidRDefault="000126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B55602" wp14:editId="79B160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3875C" w14:textId="77777777" w:rsidR="00012694" w:rsidRDefault="00012694"/>
                          <w:p w14:paraId="6E7C96E1" w14:textId="77777777" w:rsidR="00012694" w:rsidRDefault="00012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B556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53875C" w14:textId="77777777" w:rsidR="00012694" w:rsidRDefault="00012694"/>
                    <w:p w14:paraId="6E7C96E1" w14:textId="77777777" w:rsidR="00012694" w:rsidRDefault="000126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BCE4D1" w14:textId="77777777" w:rsidR="00012694" w:rsidRDefault="00012694"/>
    <w:p w14:paraId="6BA325AD" w14:textId="77777777" w:rsidR="00012694" w:rsidRDefault="00012694">
      <w:pPr>
        <w:rPr>
          <w:sz w:val="2"/>
          <w:szCs w:val="2"/>
        </w:rPr>
      </w:pPr>
    </w:p>
    <w:p w14:paraId="6CE9526F" w14:textId="77777777" w:rsidR="00012694" w:rsidRDefault="00012694"/>
    <w:p w14:paraId="4E0C5E71" w14:textId="77777777" w:rsidR="00012694" w:rsidRDefault="00012694">
      <w:pPr>
        <w:spacing w:after="0" w:line="240" w:lineRule="auto"/>
      </w:pPr>
    </w:p>
  </w:footnote>
  <w:footnote w:type="continuationSeparator" w:id="0">
    <w:p w14:paraId="3E83775F" w14:textId="77777777" w:rsidR="00012694" w:rsidRDefault="0001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29D1238"/>
    <w:multiLevelType w:val="multilevel"/>
    <w:tmpl w:val="3F8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94"/>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183588</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cp:revision>
  <cp:lastPrinted>2009-02-06T05:36:00Z</cp:lastPrinted>
  <dcterms:created xsi:type="dcterms:W3CDTF">2024-01-07T13:43:00Z</dcterms:created>
  <dcterms:modified xsi:type="dcterms:W3CDTF">2025-10-14T09:06:00Z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