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0EEE7" w14:textId="44F89057" w:rsidR="00DD19E5" w:rsidRDefault="001905AB" w:rsidP="001905AB">
      <w:pPr>
        <w:rPr>
          <w:rFonts w:ascii="Verdana" w:hAnsi="Verdana"/>
          <w:b/>
          <w:bCs/>
          <w:color w:val="000000"/>
          <w:shd w:val="clear" w:color="auto" w:fill="FFFFFF"/>
        </w:rPr>
      </w:pPr>
      <w:r>
        <w:rPr>
          <w:rFonts w:ascii="Verdana" w:hAnsi="Verdana"/>
          <w:b/>
          <w:bCs/>
          <w:color w:val="000000"/>
          <w:shd w:val="clear" w:color="auto" w:fill="FFFFFF"/>
        </w:rPr>
        <w:t>Луппол Олена Михайлівна. Реформування структури власників підприємств чорної металургії України : Дис... канд. екон. наук: 08.02.03 / Донецький національний технічний ун- т. — Донецьк, 2005. — 269арк. : рис. — Бібліогр.: арк. 177-191</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905AB" w:rsidRPr="001905AB" w14:paraId="014B22BF" w14:textId="77777777" w:rsidTr="001905A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905AB" w:rsidRPr="001905AB" w14:paraId="0316DC64" w14:textId="77777777">
              <w:trPr>
                <w:tblCellSpacing w:w="0" w:type="dxa"/>
              </w:trPr>
              <w:tc>
                <w:tcPr>
                  <w:tcW w:w="0" w:type="auto"/>
                  <w:vAlign w:val="center"/>
                  <w:hideMark/>
                </w:tcPr>
                <w:p w14:paraId="630D0F65" w14:textId="77777777" w:rsidR="001905AB" w:rsidRPr="001905AB" w:rsidRDefault="001905AB" w:rsidP="001905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05AB">
                    <w:rPr>
                      <w:rFonts w:ascii="Times New Roman" w:eastAsia="Times New Roman" w:hAnsi="Times New Roman" w:cs="Times New Roman"/>
                      <w:b/>
                      <w:bCs/>
                      <w:sz w:val="24"/>
                      <w:szCs w:val="24"/>
                    </w:rPr>
                    <w:lastRenderedPageBreak/>
                    <w:t>Луппол О.М. Реформування структури власників підприємств чорної металургії України. – Рукопис.</w:t>
                  </w:r>
                </w:p>
                <w:p w14:paraId="0714917A" w14:textId="77777777" w:rsidR="001905AB" w:rsidRPr="001905AB" w:rsidRDefault="001905AB" w:rsidP="001905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05AB">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і регулювання економіки. – Інститут економіки промисловості НАН України, Донецьк, 2005.</w:t>
                  </w:r>
                </w:p>
                <w:p w14:paraId="3B1DAB7E" w14:textId="77777777" w:rsidR="001905AB" w:rsidRPr="001905AB" w:rsidRDefault="001905AB" w:rsidP="001905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05AB">
                    <w:rPr>
                      <w:rFonts w:ascii="Times New Roman" w:eastAsia="Times New Roman" w:hAnsi="Times New Roman" w:cs="Times New Roman"/>
                      <w:sz w:val="24"/>
                      <w:szCs w:val="24"/>
                    </w:rPr>
                    <w:t>Дисертацію присвячено задачі удосконалення структури власників підприємств чорної металургії України в напрямі сприяння мінімізації ризику відхилень між фактично досягнутим та прогресивним рівнем ефективності господарської діяльності підприємств. На основі поєднання положень економічної теорії прав власності, теорії агентських відносин і практики реформування структури власників підприємств у країнах з транзитивною економікою в роботі обґрунтовано вплив структури власників на ефективність діяльності корпорацій.</w:t>
                  </w:r>
                </w:p>
                <w:p w14:paraId="7C48E71F" w14:textId="77777777" w:rsidR="001905AB" w:rsidRPr="001905AB" w:rsidRDefault="001905AB" w:rsidP="001905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05AB">
                    <w:rPr>
                      <w:rFonts w:ascii="Times New Roman" w:eastAsia="Times New Roman" w:hAnsi="Times New Roman" w:cs="Times New Roman"/>
                      <w:sz w:val="24"/>
                      <w:szCs w:val="24"/>
                    </w:rPr>
                    <w:t>Доведено необхідність урахування структури власників при здійсненні корпоративного управління. На цій основі запропоновано методичний підхід щодо регулювання складу ради директорів корпорацій відповідно до принципу справедливої оптимальності Шеплі розв’язків кооперативних ігор, що забезпечує гармонійний корпоративний контроль діяльності різних типів власників, захист прав міноритарних акціонерів і більш повну реалізацію прав мажоритарних власників.</w:t>
                  </w:r>
                </w:p>
                <w:p w14:paraId="13D7951D" w14:textId="77777777" w:rsidR="001905AB" w:rsidRPr="001905AB" w:rsidRDefault="001905AB" w:rsidP="001905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05AB">
                    <w:rPr>
                      <w:rFonts w:ascii="Times New Roman" w:eastAsia="Times New Roman" w:hAnsi="Times New Roman" w:cs="Times New Roman"/>
                      <w:sz w:val="24"/>
                      <w:szCs w:val="24"/>
                    </w:rPr>
                    <w:t>Виявлено індикатори змін в ефективності господарської діяльності підприємств чорної металургії в умовах реформування структури власників. На основі використання економетричних методів и факторних моделей розроблено методику оцінки впливу структури власників на ефективність діяльності підприємств.</w:t>
                  </w:r>
                </w:p>
                <w:p w14:paraId="50802EF5" w14:textId="77777777" w:rsidR="001905AB" w:rsidRPr="001905AB" w:rsidRDefault="001905AB" w:rsidP="001905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05AB">
                    <w:rPr>
                      <w:rFonts w:ascii="Times New Roman" w:eastAsia="Times New Roman" w:hAnsi="Times New Roman" w:cs="Times New Roman"/>
                      <w:sz w:val="24"/>
                      <w:szCs w:val="24"/>
                    </w:rPr>
                    <w:t>На основі використання результатів економетричного і багатовимірного факторного аналізів побудовано економіко-математичну модель визначення оптимальної структури власників підприємств чорної металургії України і розроблено рекомендації щодо прогресивних напрямів змін складу власників цих підприємств.</w:t>
                  </w:r>
                </w:p>
                <w:p w14:paraId="60965A66" w14:textId="77777777" w:rsidR="001905AB" w:rsidRPr="001905AB" w:rsidRDefault="001905AB" w:rsidP="001905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05AB">
                    <w:rPr>
                      <w:rFonts w:ascii="Times New Roman" w:eastAsia="Times New Roman" w:hAnsi="Times New Roman" w:cs="Times New Roman"/>
                      <w:sz w:val="24"/>
                      <w:szCs w:val="24"/>
                    </w:rPr>
                    <w:t>Розроблено методику визначення економічного ефекту від сприяння формуванню оптимальної структури власників на підприємствах чорної металургії України.</w:t>
                  </w:r>
                </w:p>
              </w:tc>
            </w:tr>
          </w:tbl>
          <w:p w14:paraId="1F1199EF" w14:textId="77777777" w:rsidR="001905AB" w:rsidRPr="001905AB" w:rsidRDefault="001905AB" w:rsidP="001905AB">
            <w:pPr>
              <w:spacing w:after="0" w:line="240" w:lineRule="auto"/>
              <w:rPr>
                <w:rFonts w:ascii="Times New Roman" w:eastAsia="Times New Roman" w:hAnsi="Times New Roman" w:cs="Times New Roman"/>
                <w:sz w:val="24"/>
                <w:szCs w:val="24"/>
              </w:rPr>
            </w:pPr>
          </w:p>
        </w:tc>
      </w:tr>
      <w:tr w:rsidR="001905AB" w:rsidRPr="001905AB" w14:paraId="03BC446B" w14:textId="77777777" w:rsidTr="001905A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905AB" w:rsidRPr="001905AB" w14:paraId="3A122DA0" w14:textId="77777777">
              <w:trPr>
                <w:tblCellSpacing w:w="0" w:type="dxa"/>
              </w:trPr>
              <w:tc>
                <w:tcPr>
                  <w:tcW w:w="0" w:type="auto"/>
                  <w:vAlign w:val="center"/>
                  <w:hideMark/>
                </w:tcPr>
                <w:p w14:paraId="3A80B75A" w14:textId="77777777" w:rsidR="001905AB" w:rsidRPr="001905AB" w:rsidRDefault="001905AB" w:rsidP="001905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05AB">
                    <w:rPr>
                      <w:rFonts w:ascii="Times New Roman" w:eastAsia="Times New Roman" w:hAnsi="Times New Roman" w:cs="Times New Roman"/>
                      <w:sz w:val="24"/>
                      <w:szCs w:val="24"/>
                    </w:rPr>
                    <w:t>Підсумком виконаного дослідження, заснованого на застосуванні загальнонаукових та спеціальних методів, є сукупність теоретичних, аналітичних і науково-методичних положень, що визначають концептуальні основи, аналіз практики і шляхи вирішення наукової задачі реформування структури власників підприємств чорної металургії України. Основні висновки полягають у такому:</w:t>
                  </w:r>
                </w:p>
                <w:p w14:paraId="7706D9D9" w14:textId="77777777" w:rsidR="001905AB" w:rsidRPr="001905AB" w:rsidRDefault="001905AB" w:rsidP="00F845F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905AB">
                    <w:rPr>
                      <w:rFonts w:ascii="Times New Roman" w:eastAsia="Times New Roman" w:hAnsi="Times New Roman" w:cs="Times New Roman"/>
                      <w:sz w:val="24"/>
                      <w:szCs w:val="24"/>
                    </w:rPr>
                    <w:t>На основі поєднання положень економічної теорії прав власності та теорії агентських відносин з практикою реформування структури власників у країнах з транзитивною економікою аргументовано, що економічна поведінка підприємства є результуючою складовою сукупності інтересів усіх його власників, а результати фінансово-господарської діяльності підприємства залежать від структури цих власників. Таким чином, пошук шляхів удосконалення структури власників може істотно підвищити ефективність діяльності підприємств.</w:t>
                  </w:r>
                </w:p>
                <w:p w14:paraId="5CE0638C" w14:textId="77777777" w:rsidR="001905AB" w:rsidRPr="001905AB" w:rsidRDefault="001905AB" w:rsidP="00F845F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905AB">
                    <w:rPr>
                      <w:rFonts w:ascii="Times New Roman" w:eastAsia="Times New Roman" w:hAnsi="Times New Roman" w:cs="Times New Roman"/>
                      <w:sz w:val="24"/>
                      <w:szCs w:val="24"/>
                    </w:rPr>
                    <w:lastRenderedPageBreak/>
                    <w:t>Обґрунтовано, що одержання об’єктивних кількісних оцінок щодо впливу структури власників на результати діяльності підприємств залежить від вибраного концептуального підходу до вирішення цієї задачі. Доведено доцільність синхронного порівняння ефективності діяльності однорідних підприємств із різною структурою власників.</w:t>
                  </w:r>
                </w:p>
                <w:p w14:paraId="2757ECAB" w14:textId="77777777" w:rsidR="001905AB" w:rsidRPr="001905AB" w:rsidRDefault="001905AB" w:rsidP="00F845F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905AB">
                    <w:rPr>
                      <w:rFonts w:ascii="Times New Roman" w:eastAsia="Times New Roman" w:hAnsi="Times New Roman" w:cs="Times New Roman"/>
                      <w:sz w:val="24"/>
                      <w:szCs w:val="24"/>
                    </w:rPr>
                    <w:t>Удосконалено методичний підхід до синхронного порівняння результатів господарської діяльності підприємств із різною структурою власників за рахунок перевірки однорідності підприємств. Застосування тесту Смірнова-Граббса на існування засмічення серед основних показників діяльності підприємств і розрахунок та перевірка статистичної надійності коефіцієнта рангової конкордації експертних оцінок керівників підприємств дають підстави для визначення ступеня ідентичності внутрішніх і зовнішніх умов функціонування підприємств із різною структурою власників, що безпосередньо відбивається на вірогідності одержаних оцінок впливу структури власників на результати діяльності підприємств.</w:t>
                  </w:r>
                </w:p>
                <w:p w14:paraId="731F2ACB" w14:textId="77777777" w:rsidR="001905AB" w:rsidRPr="001905AB" w:rsidRDefault="001905AB" w:rsidP="00F845F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905AB">
                    <w:rPr>
                      <w:rFonts w:ascii="Times New Roman" w:eastAsia="Times New Roman" w:hAnsi="Times New Roman" w:cs="Times New Roman"/>
                      <w:sz w:val="24"/>
                      <w:szCs w:val="24"/>
                    </w:rPr>
                    <w:t>Аргументовано, що в умовах трансформації економічних відносин державне регулювання приватизації великих підприємств є одним з найбільш впливових, але незадіяних важелів економічного зростання країни. На відміну від існуючих в Україні підходів, виконано аналіз панельних даних про динаміку рівня ВВП на душу населення в країнах СНД і динаміку експертних оцінок спеціалістів ЄБРР щодо якості та інтенсивності ринкових перетворень у цих країнах і на основі параметризації моделі лонгітюдних даних з фіксованими ефектами одержано кількісну оцінку впливу інтенсивності і якості приватизації великих підприємств на рівень добробуту громадян.</w:t>
                  </w:r>
                </w:p>
                <w:p w14:paraId="0DB9A350" w14:textId="77777777" w:rsidR="001905AB" w:rsidRPr="001905AB" w:rsidRDefault="001905AB" w:rsidP="00F845F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905AB">
                    <w:rPr>
                      <w:rFonts w:ascii="Times New Roman" w:eastAsia="Times New Roman" w:hAnsi="Times New Roman" w:cs="Times New Roman"/>
                      <w:sz w:val="24"/>
                      <w:szCs w:val="24"/>
                    </w:rPr>
                    <w:t>Встановлено необхідність урахування структури власників у моделі корпоративного управління підприємств. У зв’язку з цим запропоновано зміни в чинне господарське законодавство, які дозволять зробити механізм формування складу ради директорів більш прозорим і краще відповідним реальній силі власників підприємств за рахунок регулювання складу ради директорів на основі застосування принципу справедливої оптимальності Шеплі розв’язків кооперативних ігор.</w:t>
                  </w:r>
                </w:p>
                <w:p w14:paraId="25BAE764" w14:textId="77777777" w:rsidR="001905AB" w:rsidRPr="001905AB" w:rsidRDefault="001905AB" w:rsidP="00F845F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905AB">
                    <w:rPr>
                      <w:rFonts w:ascii="Times New Roman" w:eastAsia="Times New Roman" w:hAnsi="Times New Roman" w:cs="Times New Roman"/>
                      <w:sz w:val="24"/>
                      <w:szCs w:val="24"/>
                    </w:rPr>
                    <w:t>Розроблено методику відстеження індикаторів змін в ефективності господарської діяльності під впливом реформування структури власників з використанням засобів сканування і агрегації фактичних результатів діяльності підприємств і моніторингу середовища власників в умовах трансформації їх структури, що на відміну від існуючих підходів дозволяє відстежити й оцінити зміни в ефективності діяльності підприємств, обумовлені безпосередньо трансформацією структури власників.</w:t>
                  </w:r>
                </w:p>
                <w:p w14:paraId="0E4BAB11" w14:textId="77777777" w:rsidR="001905AB" w:rsidRPr="001905AB" w:rsidRDefault="001905AB" w:rsidP="00F845F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905AB">
                    <w:rPr>
                      <w:rFonts w:ascii="Times New Roman" w:eastAsia="Times New Roman" w:hAnsi="Times New Roman" w:cs="Times New Roman"/>
                      <w:sz w:val="24"/>
                      <w:szCs w:val="24"/>
                    </w:rPr>
                    <w:t>На цій підставі обґрунтовано прогресивні напрями змін у складі власників підприємств чорної металургії України, а саме: розпорошення прав власності серед робітників і вітчизняних фірм та концентрація прав власності посадовими особами і зарубіжними компаніями.</w:t>
                  </w:r>
                </w:p>
                <w:p w14:paraId="07EE6673" w14:textId="77777777" w:rsidR="001905AB" w:rsidRPr="001905AB" w:rsidRDefault="001905AB" w:rsidP="00F845F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905AB">
                    <w:rPr>
                      <w:rFonts w:ascii="Times New Roman" w:eastAsia="Times New Roman" w:hAnsi="Times New Roman" w:cs="Times New Roman"/>
                      <w:sz w:val="24"/>
                      <w:szCs w:val="24"/>
                    </w:rPr>
                    <w:t xml:space="preserve">У зв’язку з цим побудовано економіко-математичну модель оптимізації структури власників підприємств чорної металургії України, яка дозволяє обґрунтувати шляхи досягнення запланованого підвищення ефективності господарської діяльності підприємств із мінімальним ризиком. Зведення побудованої моделі до задачі нелінійної оптимізації та пошук умовного екстремуму функції методом множників Лагранжа із застосуванням перевірки умов Куна-Таккера дають обґрунтовані підстави вважати, що оптимальною структурою власників підприємств чорної металургії України є така їх пропорція: 17,20% акцій повинно належати вітчизняним фірмам, які пов'язані з діяльністю підприємства; 23,08% - зарубіжним компаніям; 0,48% - посадовим особам; </w:t>
                  </w:r>
                  <w:r w:rsidRPr="001905AB">
                    <w:rPr>
                      <w:rFonts w:ascii="Times New Roman" w:eastAsia="Times New Roman" w:hAnsi="Times New Roman" w:cs="Times New Roman"/>
                      <w:sz w:val="24"/>
                      <w:szCs w:val="24"/>
                    </w:rPr>
                    <w:lastRenderedPageBreak/>
                    <w:t>39,62% - працівникам підприємства як сукупності акціонерів - фізичних осіб; 19,62% - працівникам підприємства – трудовому колективу як власникові - юридичній особі.</w:t>
                  </w:r>
                </w:p>
                <w:p w14:paraId="5FDCF0E3" w14:textId="77777777" w:rsidR="001905AB" w:rsidRPr="001905AB" w:rsidRDefault="001905AB" w:rsidP="001905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05AB">
                    <w:rPr>
                      <w:rFonts w:ascii="Times New Roman" w:eastAsia="Times New Roman" w:hAnsi="Times New Roman" w:cs="Times New Roman"/>
                      <w:sz w:val="24"/>
                      <w:szCs w:val="24"/>
                    </w:rPr>
                    <w:t>9. Дістав подальшого розвитку методичний підхід щодо адаптації багатовимірних факторних моделей до реальних умов на основі регресійного аналізу результатів багатовимірного факторного аналізу показників реформування структури власників і вартісних показників діяльності підприємств чорної металургії України. На цій підставі встановлено, що сприяння реформуванню структури власників підприємств чорної металургії України в напрямі її наближення до оптимальної дозволить отримати додатково у середньому близько 2,149 млрд.грн. на рік чистого доходу чи сумарного чистого прибутку, у середньому більш ніж 309,387 млн.грн. на рік.</w:t>
                  </w:r>
                </w:p>
              </w:tc>
            </w:tr>
          </w:tbl>
          <w:p w14:paraId="666D21F3" w14:textId="77777777" w:rsidR="001905AB" w:rsidRPr="001905AB" w:rsidRDefault="001905AB" w:rsidP="001905AB">
            <w:pPr>
              <w:spacing w:after="0" w:line="240" w:lineRule="auto"/>
              <w:rPr>
                <w:rFonts w:ascii="Times New Roman" w:eastAsia="Times New Roman" w:hAnsi="Times New Roman" w:cs="Times New Roman"/>
                <w:sz w:val="24"/>
                <w:szCs w:val="24"/>
              </w:rPr>
            </w:pPr>
          </w:p>
        </w:tc>
      </w:tr>
    </w:tbl>
    <w:p w14:paraId="0EC6335F" w14:textId="77777777" w:rsidR="001905AB" w:rsidRPr="001905AB" w:rsidRDefault="001905AB" w:rsidP="001905AB"/>
    <w:sectPr w:rsidR="001905AB" w:rsidRPr="001905A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71DEA" w14:textId="77777777" w:rsidR="00F845FD" w:rsidRDefault="00F845FD">
      <w:pPr>
        <w:spacing w:after="0" w:line="240" w:lineRule="auto"/>
      </w:pPr>
      <w:r>
        <w:separator/>
      </w:r>
    </w:p>
  </w:endnote>
  <w:endnote w:type="continuationSeparator" w:id="0">
    <w:p w14:paraId="00C1D4DD" w14:textId="77777777" w:rsidR="00F845FD" w:rsidRDefault="00F84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3FD7E" w14:textId="77777777" w:rsidR="00F845FD" w:rsidRDefault="00F845FD">
      <w:pPr>
        <w:spacing w:after="0" w:line="240" w:lineRule="auto"/>
      </w:pPr>
      <w:r>
        <w:separator/>
      </w:r>
    </w:p>
  </w:footnote>
  <w:footnote w:type="continuationSeparator" w:id="0">
    <w:p w14:paraId="1EB5EAA4" w14:textId="77777777" w:rsidR="00F845FD" w:rsidRDefault="00F845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845F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56D4E"/>
    <w:multiLevelType w:val="multilevel"/>
    <w:tmpl w:val="25FEC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C570277"/>
    <w:multiLevelType w:val="multilevel"/>
    <w:tmpl w:val="5DA4EC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4A0"/>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9E5"/>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5FD"/>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92323</TotalTime>
  <Pages>4</Pages>
  <Words>1117</Words>
  <Characters>6373</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4606</cp:revision>
  <dcterms:created xsi:type="dcterms:W3CDTF">2024-06-20T08:51:00Z</dcterms:created>
  <dcterms:modified xsi:type="dcterms:W3CDTF">2024-09-28T22:52:00Z</dcterms:modified>
  <cp:category/>
</cp:coreProperties>
</file>