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08F1" w14:textId="2F84FD27" w:rsidR="00876310" w:rsidRDefault="00F973C0" w:rsidP="00F973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Чан Куок Хинг. Стимулювання праці в перехідній економіці: дисертація канд. екон. наук: 08.01.01 / Харківський національний ун-т ім. В.Н.Каразіна. - Х., 2003</w:t>
      </w:r>
    </w:p>
    <w:p w14:paraId="08CF8127" w14:textId="77777777" w:rsidR="00F973C0" w:rsidRPr="00F973C0" w:rsidRDefault="00F973C0" w:rsidP="00F9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73C0">
        <w:rPr>
          <w:rFonts w:ascii="Times New Roman" w:eastAsia="Times New Roman" w:hAnsi="Times New Roman" w:cs="Times New Roman"/>
          <w:color w:val="000000"/>
          <w:sz w:val="27"/>
          <w:szCs w:val="27"/>
        </w:rPr>
        <w:t>Чан Куок Хинг. Стимулювання праці в перехідній економіці. – Рукопис.</w:t>
      </w:r>
    </w:p>
    <w:p w14:paraId="1B9A68F2" w14:textId="77777777" w:rsidR="00F973C0" w:rsidRPr="00F973C0" w:rsidRDefault="00F973C0" w:rsidP="00F9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73C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ступеню кандидата економічних наук за спеціальністю 08.01.01 – економічна теорія.</w:t>
      </w:r>
    </w:p>
    <w:p w14:paraId="0DB8D319" w14:textId="77777777" w:rsidR="00F973C0" w:rsidRPr="00F973C0" w:rsidRDefault="00F973C0" w:rsidP="00F9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73C0">
        <w:rPr>
          <w:rFonts w:ascii="Times New Roman" w:eastAsia="Times New Roman" w:hAnsi="Times New Roman" w:cs="Times New Roman"/>
          <w:color w:val="000000"/>
          <w:sz w:val="27"/>
          <w:szCs w:val="27"/>
        </w:rPr>
        <w:t>Харківський національний університет імені В.Н.Каразіна. Харків. 2003.</w:t>
      </w:r>
    </w:p>
    <w:p w14:paraId="06872EFE" w14:textId="77777777" w:rsidR="00F973C0" w:rsidRPr="00F973C0" w:rsidRDefault="00F973C0" w:rsidP="00F9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73C0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на основі застосування системоцентристського підходу до дослідження стимулювання праці у перехідній економіці доповнена методологія його аналізу шляхом розгляду стимулювання праці в єдності інституціонального, соціально-економічного, організаційно-економічного аспектів</w:t>
      </w:r>
    </w:p>
    <w:p w14:paraId="0B226FA3" w14:textId="77777777" w:rsidR="00F973C0" w:rsidRPr="00F973C0" w:rsidRDefault="00F973C0" w:rsidP="00F9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73C0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механізм стимулювання праці як єдність об'єктів стимулювання на макро- і мікрорівнях, суспільних інститутів і організацій, прямих і зворотних зв'язків між ними.</w:t>
      </w:r>
    </w:p>
    <w:p w14:paraId="43217DE2" w14:textId="77777777" w:rsidR="00F973C0" w:rsidRPr="00F973C0" w:rsidRDefault="00F973C0" w:rsidP="00F9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73C0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компаративного аналізу моделей стимулювання праці в різних соціально-економічних системах обґрунтовані напрямки перетворення системи стимулювання праці в перехідній економіці. Обґрунтована. роль держави в цьому процесі.</w:t>
      </w:r>
    </w:p>
    <w:p w14:paraId="76E70D62" w14:textId="77777777" w:rsidR="00F973C0" w:rsidRPr="00F973C0" w:rsidRDefault="00F973C0" w:rsidP="00F9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73C0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доповнити систему стимулювання праці па мікрорівні оскільки вона виконує додаткову функцію в перехідній економіці - компенсуючи соціальну нестабільність у суспільстві.</w:t>
      </w:r>
    </w:p>
    <w:p w14:paraId="18F950FB" w14:textId="77777777" w:rsidR="00F973C0" w:rsidRPr="00F973C0" w:rsidRDefault="00F973C0" w:rsidP="00F97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73C0">
        <w:rPr>
          <w:rFonts w:ascii="Times New Roman" w:eastAsia="Times New Roman" w:hAnsi="Times New Roman" w:cs="Times New Roman"/>
          <w:color w:val="000000"/>
          <w:sz w:val="27"/>
          <w:szCs w:val="27"/>
        </w:rPr>
        <w:t>З'ясовані особливості національної моделі стимулювання праці у</w:t>
      </w:r>
      <w:r w:rsidRPr="00F973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В'єтнамі.</w:t>
      </w:r>
    </w:p>
    <w:p w14:paraId="1BF08AAD" w14:textId="77777777" w:rsidR="00F973C0" w:rsidRPr="00F973C0" w:rsidRDefault="00F973C0" w:rsidP="00F973C0"/>
    <w:sectPr w:rsidR="00F973C0" w:rsidRPr="00F973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1874" w14:textId="77777777" w:rsidR="00267670" w:rsidRDefault="00267670">
      <w:pPr>
        <w:spacing w:after="0" w:line="240" w:lineRule="auto"/>
      </w:pPr>
      <w:r>
        <w:separator/>
      </w:r>
    </w:p>
  </w:endnote>
  <w:endnote w:type="continuationSeparator" w:id="0">
    <w:p w14:paraId="3198556A" w14:textId="77777777" w:rsidR="00267670" w:rsidRDefault="0026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5EF7" w14:textId="77777777" w:rsidR="00267670" w:rsidRDefault="00267670">
      <w:pPr>
        <w:spacing w:after="0" w:line="240" w:lineRule="auto"/>
      </w:pPr>
      <w:r>
        <w:separator/>
      </w:r>
    </w:p>
  </w:footnote>
  <w:footnote w:type="continuationSeparator" w:id="0">
    <w:p w14:paraId="02F5960F" w14:textId="77777777" w:rsidR="00267670" w:rsidRDefault="0026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76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1D48C0"/>
    <w:multiLevelType w:val="multilevel"/>
    <w:tmpl w:val="761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8"/>
  </w:num>
  <w:num w:numId="5">
    <w:abstractNumId w:val="30"/>
  </w:num>
  <w:num w:numId="6">
    <w:abstractNumId w:val="35"/>
  </w:num>
  <w:num w:numId="7">
    <w:abstractNumId w:val="28"/>
  </w:num>
  <w:num w:numId="8">
    <w:abstractNumId w:val="7"/>
  </w:num>
  <w:num w:numId="9">
    <w:abstractNumId w:val="22"/>
  </w:num>
  <w:num w:numId="10">
    <w:abstractNumId w:val="2"/>
  </w:num>
  <w:num w:numId="11">
    <w:abstractNumId w:val="4"/>
  </w:num>
  <w:num w:numId="12">
    <w:abstractNumId w:val="20"/>
  </w:num>
  <w:num w:numId="13">
    <w:abstractNumId w:val="39"/>
  </w:num>
  <w:num w:numId="14">
    <w:abstractNumId w:val="14"/>
  </w:num>
  <w:num w:numId="15">
    <w:abstractNumId w:val="36"/>
  </w:num>
  <w:num w:numId="16">
    <w:abstractNumId w:val="12"/>
  </w:num>
  <w:num w:numId="17">
    <w:abstractNumId w:val="25"/>
  </w:num>
  <w:num w:numId="18">
    <w:abstractNumId w:val="0"/>
  </w:num>
  <w:num w:numId="19">
    <w:abstractNumId w:val="29"/>
  </w:num>
  <w:num w:numId="20">
    <w:abstractNumId w:val="37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3"/>
  </w:num>
  <w:num w:numId="26">
    <w:abstractNumId w:val="40"/>
  </w:num>
  <w:num w:numId="27">
    <w:abstractNumId w:val="5"/>
  </w:num>
  <w:num w:numId="28">
    <w:abstractNumId w:val="9"/>
  </w:num>
  <w:num w:numId="29">
    <w:abstractNumId w:val="23"/>
  </w:num>
  <w:num w:numId="30">
    <w:abstractNumId w:val="26"/>
  </w:num>
  <w:num w:numId="31">
    <w:abstractNumId w:val="6"/>
  </w:num>
  <w:num w:numId="32">
    <w:abstractNumId w:val="31"/>
  </w:num>
  <w:num w:numId="33">
    <w:abstractNumId w:val="27"/>
  </w:num>
  <w:num w:numId="34">
    <w:abstractNumId w:val="18"/>
  </w:num>
  <w:num w:numId="35">
    <w:abstractNumId w:val="10"/>
  </w:num>
  <w:num w:numId="36">
    <w:abstractNumId w:val="34"/>
  </w:num>
  <w:num w:numId="37">
    <w:abstractNumId w:val="3"/>
  </w:num>
  <w:num w:numId="38">
    <w:abstractNumId w:val="11"/>
  </w:num>
  <w:num w:numId="39">
    <w:abstractNumId w:val="1"/>
  </w:num>
  <w:num w:numId="40">
    <w:abstractNumId w:val="3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670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87928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3623</cp:revision>
  <dcterms:created xsi:type="dcterms:W3CDTF">2024-06-20T08:51:00Z</dcterms:created>
  <dcterms:modified xsi:type="dcterms:W3CDTF">2024-09-23T22:07:00Z</dcterms:modified>
  <cp:category/>
</cp:coreProperties>
</file>