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165A97" w:rsidRDefault="00165A97" w:rsidP="00165A97">
      <w:r w:rsidRPr="00AC584C">
        <w:rPr>
          <w:rFonts w:ascii="Times New Roman" w:eastAsia="Times New Roman" w:hAnsi="Times New Roman" w:cs="Times New Roman"/>
          <w:b/>
          <w:bCs/>
          <w:iCs/>
          <w:color w:val="000000"/>
          <w:sz w:val="24"/>
          <w:szCs w:val="24"/>
          <w:lang w:eastAsia="ru-RU"/>
        </w:rPr>
        <w:t xml:space="preserve">Новікова Наталія Олексіївна, </w:t>
      </w:r>
      <w:r w:rsidRPr="00AC584C">
        <w:rPr>
          <w:rFonts w:ascii="Times New Roman" w:eastAsia="Times New Roman" w:hAnsi="Times New Roman" w:cs="Times New Roman"/>
          <w:bCs/>
          <w:iCs/>
          <w:color w:val="000000"/>
          <w:sz w:val="24"/>
          <w:szCs w:val="24"/>
          <w:lang w:eastAsia="ru-RU"/>
        </w:rPr>
        <w:t>старший викладач кафедри технічної кібернетики й інформаційних технологій ім. професора Р.В. Меркта Одеського національного морського університету. Назва дисертації: «Інформаційна технологія автоматизації об’єктно-орієнтованого моделювання на основі вимог предметної галузі». Шифр та назва спеціальності – 05.13.06 – Інформаційні технології. Спецрада Д 41.052.01 Одеського національного політехнічного університету</w:t>
      </w:r>
    </w:p>
    <w:sectPr w:rsidR="000D5E82" w:rsidRPr="00165A9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165A97" w:rsidRPr="00165A9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FDF5D-CDFC-4FD1-959C-1417D8ED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3873</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184</cp:revision>
  <cp:lastPrinted>2009-02-06T05:36:00Z</cp:lastPrinted>
  <dcterms:created xsi:type="dcterms:W3CDTF">2021-01-21T08:41:00Z</dcterms:created>
  <dcterms:modified xsi:type="dcterms:W3CDTF">2021-02-05T21:39:00Z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