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F187" w14:textId="4A923466" w:rsidR="0020715C" w:rsidRDefault="001755D1" w:rsidP="001755D1">
      <w:pPr>
        <w:rPr>
          <w:rFonts w:ascii="Verdana" w:hAnsi="Verdana"/>
          <w:b/>
          <w:bCs/>
          <w:color w:val="000000"/>
          <w:shd w:val="clear" w:color="auto" w:fill="FFFFFF"/>
        </w:rPr>
      </w:pPr>
      <w:r>
        <w:rPr>
          <w:rFonts w:ascii="Verdana" w:hAnsi="Verdana"/>
          <w:b/>
          <w:bCs/>
          <w:color w:val="000000"/>
          <w:shd w:val="clear" w:color="auto" w:fill="FFFFFF"/>
        </w:rPr>
        <w:t>Акчуріна Юлія Михайлівна. Ефективність функціонування особистих селянських господарств в ринкових умовах : дис... канд. екон. наук: 08.07.02 / Харківський національний аграрний ун-т ім. В.В.Докучаєва.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55D1" w:rsidRPr="001755D1" w14:paraId="694847FA" w14:textId="77777777" w:rsidTr="001755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55D1" w:rsidRPr="001755D1" w14:paraId="6F0C2E5B" w14:textId="77777777">
              <w:trPr>
                <w:tblCellSpacing w:w="0" w:type="dxa"/>
              </w:trPr>
              <w:tc>
                <w:tcPr>
                  <w:tcW w:w="0" w:type="auto"/>
                  <w:vAlign w:val="center"/>
                  <w:hideMark/>
                </w:tcPr>
                <w:p w14:paraId="4EE9F85C" w14:textId="77777777" w:rsidR="001755D1" w:rsidRPr="001755D1" w:rsidRDefault="001755D1" w:rsidP="001755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D1">
                    <w:rPr>
                      <w:rFonts w:ascii="Times New Roman" w:eastAsia="Times New Roman" w:hAnsi="Times New Roman" w:cs="Times New Roman"/>
                      <w:sz w:val="24"/>
                      <w:szCs w:val="24"/>
                    </w:rPr>
                    <w:lastRenderedPageBreak/>
                    <w:t>Акчуріна Ю.М. Ефективність функціонування особистих селянських господарств в ринкових умовах. – Рукопис.</w:t>
                  </w:r>
                </w:p>
                <w:p w14:paraId="00E9CF92" w14:textId="77777777" w:rsidR="001755D1" w:rsidRPr="001755D1" w:rsidRDefault="001755D1" w:rsidP="001755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D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Харківський національний аграрний університет ім. В.В. Докучаєва. – Харків, 2006.</w:t>
                  </w:r>
                </w:p>
                <w:p w14:paraId="24CCC7F7" w14:textId="77777777" w:rsidR="001755D1" w:rsidRPr="001755D1" w:rsidRDefault="001755D1" w:rsidP="001755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D1">
                    <w:rPr>
                      <w:rFonts w:ascii="Times New Roman" w:eastAsia="Times New Roman" w:hAnsi="Times New Roman" w:cs="Times New Roman"/>
                      <w:sz w:val="24"/>
                      <w:szCs w:val="24"/>
                    </w:rPr>
                    <w:t>Дисертацію присвячено теоретико-методологічним і прикладним проблемам підвищення ефективності функціонування особистих селянських господарств в ринкових умовах.</w:t>
                  </w:r>
                </w:p>
                <w:p w14:paraId="5F2023D9" w14:textId="77777777" w:rsidR="001755D1" w:rsidRPr="001755D1" w:rsidRDefault="001755D1" w:rsidP="001755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D1">
                    <w:rPr>
                      <w:rFonts w:ascii="Times New Roman" w:eastAsia="Times New Roman" w:hAnsi="Times New Roman" w:cs="Times New Roman"/>
                      <w:sz w:val="24"/>
                      <w:szCs w:val="24"/>
                    </w:rPr>
                    <w:t>Узагальнено соціально-економічні функції особистих селянських господарств як складової АПК і надано визначення поняттю “особисте селянське господарство”; здійснено дослідження становлення та розвитку особистих селянських господарств в умовах становлення ринкових відносин, а також проведено порівняльне оцінювання ефективності їх функціонування; запропоновано методику обґрунтування параметрів особистих селянських господарств з урахуванням їх потреби в додаткових ресурсах; обґрунтовано найбільш ефективні та перспективні моделі кооперації й інтеграції особистих селянських господарств в системі АПК України; розроблено економіко-математичну модель розрахунку раціональних розмірів землекористування особистих селянських господарств з врахуванням природноекономічних умов сільськогосподарського виробництва.</w:t>
                  </w:r>
                </w:p>
              </w:tc>
            </w:tr>
          </w:tbl>
          <w:p w14:paraId="415B5E95" w14:textId="77777777" w:rsidR="001755D1" w:rsidRPr="001755D1" w:rsidRDefault="001755D1" w:rsidP="001755D1">
            <w:pPr>
              <w:spacing w:after="0" w:line="240" w:lineRule="auto"/>
              <w:rPr>
                <w:rFonts w:ascii="Times New Roman" w:eastAsia="Times New Roman" w:hAnsi="Times New Roman" w:cs="Times New Roman"/>
                <w:sz w:val="24"/>
                <w:szCs w:val="24"/>
              </w:rPr>
            </w:pPr>
          </w:p>
        </w:tc>
      </w:tr>
      <w:tr w:rsidR="001755D1" w:rsidRPr="001755D1" w14:paraId="37E00B82" w14:textId="77777777" w:rsidTr="001755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55D1" w:rsidRPr="001755D1" w14:paraId="6C92C8B4" w14:textId="77777777">
              <w:trPr>
                <w:tblCellSpacing w:w="0" w:type="dxa"/>
              </w:trPr>
              <w:tc>
                <w:tcPr>
                  <w:tcW w:w="0" w:type="auto"/>
                  <w:vAlign w:val="center"/>
                  <w:hideMark/>
                </w:tcPr>
                <w:p w14:paraId="14FE3776" w14:textId="77777777" w:rsidR="001755D1" w:rsidRPr="001755D1" w:rsidRDefault="001755D1" w:rsidP="001755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D1">
                    <w:rPr>
                      <w:rFonts w:ascii="Times New Roman" w:eastAsia="Times New Roman" w:hAnsi="Times New Roman" w:cs="Times New Roman"/>
                      <w:sz w:val="24"/>
                      <w:szCs w:val="24"/>
                    </w:rPr>
                    <w:t>1. Враховуючи соціально-економічні функції особистого селянського господарства, які воно виконує у сучасних реаліях економіки України, його слід розглядати як форму дрібнотоварного виробництва сільськогосподарської продукції громадянами не тільки для особистого споживання, а й для реалізації на ринку з метою одержання доходів. Тому під особистим селянським господарством слід розуміти організаційно-правову форму сільськогосподарського виробництва, багатогалузеве споживчо-товарне господарство, історично зумовлений соціально-економічний феномен у вигляді самозайнятості сільської родини, що спрямована на задоволення власних потреб у сільськогосподарській продукції, а також можливе фінансове забезпечення шляхом реалізації надлишків виробництва.</w:t>
                  </w:r>
                </w:p>
                <w:p w14:paraId="77A26415" w14:textId="77777777" w:rsidR="001755D1" w:rsidRPr="001755D1" w:rsidRDefault="001755D1" w:rsidP="001755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D1">
                    <w:rPr>
                      <w:rFonts w:ascii="Times New Roman" w:eastAsia="Times New Roman" w:hAnsi="Times New Roman" w:cs="Times New Roman"/>
                      <w:sz w:val="24"/>
                      <w:szCs w:val="24"/>
                    </w:rPr>
                    <w:t>2. Відносно до ОСГ поняття економічної ефективності можна конкретизувати як порівняння виробленої продукції з використаними на її виробництво ресурсами (землі, праці, матеріальних та інших засобів). Основною вихідною позицією в оцінюванні порівняльної ефективності ОСГ є забезпечення порівнянності інформації щодо природно-економічних умов господарювання та часу дослідження, а також усебічне і повне урахування всіх задіяних у процесі виробництва продукції ресурсів: витрати праці усіх членів родини і залучених осіб, використання ресурсів суспільних підприємств. Без таких порівнянь масштаби цієї оцінки будуть неточними.</w:t>
                  </w:r>
                </w:p>
                <w:p w14:paraId="2BE67F01" w14:textId="77777777" w:rsidR="001755D1" w:rsidRPr="001755D1" w:rsidRDefault="001755D1" w:rsidP="001755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D1">
                    <w:rPr>
                      <w:rFonts w:ascii="Times New Roman" w:eastAsia="Times New Roman" w:hAnsi="Times New Roman" w:cs="Times New Roman"/>
                      <w:sz w:val="24"/>
                      <w:szCs w:val="24"/>
                    </w:rPr>
                    <w:t>3. Оцінювання ефективності господарської діяльності ОСГ з використанням показників прибутку, собівартості, рентабельність продукції сьогодні є обмеженим і умовним через недосконалість методів обліку витрат праці та її оплати, неточність обліку витрат у суспільному господарстві на допомогу власникам ОСГ, нелегальне використання кормових та інших ресурсів суспільного господарства. Порівняльне оцінювання ефективності ОСГ має здійснюватися з використанням натуральних (врожайність сільськогосподарських культур і продуктивність тварин) і вартісних (виробництво валової продукції з розрахунку на одиницю використовуваних ресурсів: земельних; праці; фондів) показників.</w:t>
                  </w:r>
                </w:p>
                <w:p w14:paraId="44A30921" w14:textId="77777777" w:rsidR="001755D1" w:rsidRPr="001755D1" w:rsidRDefault="001755D1" w:rsidP="001755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D1">
                    <w:rPr>
                      <w:rFonts w:ascii="Times New Roman" w:eastAsia="Times New Roman" w:hAnsi="Times New Roman" w:cs="Times New Roman"/>
                      <w:sz w:val="24"/>
                      <w:szCs w:val="24"/>
                    </w:rPr>
                    <w:lastRenderedPageBreak/>
                    <w:t>4. За матеріалами проведеного вибіркового обстеження сільськогосподарських підприємств і ОСГ та розрахунку порівняльної ефективності їх господарської діяльності на основі комплексного урахування задіяних ресурсів встановлена значна перевага підприємств суспільної форми господарювання за показниками продуктивності праці та вартісної оцінки виробленої продукції на одиницю використаних ресурсів. Встановлено, що успішне функціонування особистих селянських господарств значною мірою залежить від стану економіки великих сільськогосподарських підприємств.</w:t>
                  </w:r>
                </w:p>
                <w:p w14:paraId="3DA20091" w14:textId="77777777" w:rsidR="001755D1" w:rsidRPr="001755D1" w:rsidRDefault="001755D1" w:rsidP="001755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D1">
                    <w:rPr>
                      <w:rFonts w:ascii="Times New Roman" w:eastAsia="Times New Roman" w:hAnsi="Times New Roman" w:cs="Times New Roman"/>
                      <w:sz w:val="24"/>
                      <w:szCs w:val="24"/>
                    </w:rPr>
                    <w:t>5. З метою підвищення ефективності функціонування запропонована методика розрахунку параметрів ОСГ згідно зі встановленими нормативами потреб у кормах, необхідних для тварин, що вирощуються в ОСГ, потреб ОСГ у площі сільськогосподарських угідь, необхідних для утримання тварин, нормативних витрат на виробництво кормів для утримання і відгодівлі різних видів тварин, нормативів витрат на роботи, виконувані технікою сільськогосподарських підприємств з урахуванням рівня товарно-споживчих відносин ОСГ та потреб в додаткових матеріальних ресурсах, обсягу послуг з виконання механізованих польових і транспортних робіт.</w:t>
                  </w:r>
                </w:p>
                <w:p w14:paraId="0AFCA2C1" w14:textId="77777777" w:rsidR="001755D1" w:rsidRPr="001755D1" w:rsidRDefault="001755D1" w:rsidP="001755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D1">
                    <w:rPr>
                      <w:rFonts w:ascii="Times New Roman" w:eastAsia="Times New Roman" w:hAnsi="Times New Roman" w:cs="Times New Roman"/>
                      <w:sz w:val="24"/>
                      <w:szCs w:val="24"/>
                    </w:rPr>
                    <w:t>6. Проведені в особистих селянських господарствах Запорізької області дослідження дають змогу зробити прогноз розвитку форм взаємодії між ОСГ і підприємствами суспільного сектора за такими напрямами: спільне використання землі; створення спеціалізованих підрозділів у сільськогосподарських підприємствах при сільських адміністраціях з обслуговування ОСГ, а також кооперативів громадян; організація спільного виробництва; надання взаємних послуг з використання техніки, допомога в проведенні різних сільгоспробіт, передача певних ресурсів й об’єктів виробничої інфраструктури із застосуванням різних схем взаєморозрахунків; забезпечення особистих селянських господарств матеріальними ресурсами й передовими технологіями, з використанням результатів науково-технічного прогресу.</w:t>
                  </w:r>
                </w:p>
                <w:p w14:paraId="18FC850E" w14:textId="77777777" w:rsidR="001755D1" w:rsidRPr="001755D1" w:rsidRDefault="001755D1" w:rsidP="001755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D1">
                    <w:rPr>
                      <w:rFonts w:ascii="Times New Roman" w:eastAsia="Times New Roman" w:hAnsi="Times New Roman" w:cs="Times New Roman"/>
                      <w:sz w:val="24"/>
                      <w:szCs w:val="24"/>
                    </w:rPr>
                    <w:t>7. Подальший розвиток ОСГ як складової аграрного сектора економіки має базуватися на основі активізації міжгосподарських інтеграційних зв’язків. З метою вирішення даного завдання, а також є усунення розосередженості фінансового, виробничого та товарного капіталів в АПК України розроблена організаційно-економічна модель кооперативних фінансово-промислово-аграрних спілок з участю банківсько-кредитних установ, особистих селянських господарств, підприємств-виробників, переробників і збутових структур.</w:t>
                  </w:r>
                </w:p>
                <w:p w14:paraId="2A8933BE" w14:textId="77777777" w:rsidR="001755D1" w:rsidRPr="001755D1" w:rsidRDefault="001755D1" w:rsidP="001755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55D1">
                    <w:rPr>
                      <w:rFonts w:ascii="Times New Roman" w:eastAsia="Times New Roman" w:hAnsi="Times New Roman" w:cs="Times New Roman"/>
                      <w:sz w:val="24"/>
                      <w:szCs w:val="24"/>
                    </w:rPr>
                    <w:t>8. З використанням методів кореляційно-регресійного аналізу, математичної статистики, факторного аналізу на базі матеріалу 20 районів Запорізької області запропонована економіко-математична модель визначення раціональних розмірів особистих селянських господарств з урахуванням таких факторів: спеціалізація виробництва (питома вага зернових у структурі товарної продукції, питома вага картоплі в структурі товарної продукції, питома вага молока в структурі товарної продукції, питома вага м’яса свиней у структурі товарної продукції, питома вага м’яса ВРХ у структурі товарної продукції); комплекс природно-кліматичних умов (бал бонітету ґрунтів); техніко-економічні фактори (фондоозброєність, забезпеченість робочою силою, грошово-матеріальні витрати).</w:t>
                  </w:r>
                </w:p>
              </w:tc>
            </w:tr>
          </w:tbl>
          <w:p w14:paraId="562A8292" w14:textId="77777777" w:rsidR="001755D1" w:rsidRPr="001755D1" w:rsidRDefault="001755D1" w:rsidP="001755D1">
            <w:pPr>
              <w:spacing w:after="0" w:line="240" w:lineRule="auto"/>
              <w:rPr>
                <w:rFonts w:ascii="Times New Roman" w:eastAsia="Times New Roman" w:hAnsi="Times New Roman" w:cs="Times New Roman"/>
                <w:sz w:val="24"/>
                <w:szCs w:val="24"/>
              </w:rPr>
            </w:pPr>
          </w:p>
        </w:tc>
      </w:tr>
    </w:tbl>
    <w:p w14:paraId="65F10F6F" w14:textId="77777777" w:rsidR="001755D1" w:rsidRPr="001755D1" w:rsidRDefault="001755D1" w:rsidP="001755D1"/>
    <w:sectPr w:rsidR="001755D1" w:rsidRPr="001755D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D1BD" w14:textId="77777777" w:rsidR="000A6E38" w:rsidRDefault="000A6E38">
      <w:pPr>
        <w:spacing w:after="0" w:line="240" w:lineRule="auto"/>
      </w:pPr>
      <w:r>
        <w:separator/>
      </w:r>
    </w:p>
  </w:endnote>
  <w:endnote w:type="continuationSeparator" w:id="0">
    <w:p w14:paraId="3D602494" w14:textId="77777777" w:rsidR="000A6E38" w:rsidRDefault="000A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F763" w14:textId="77777777" w:rsidR="000A6E38" w:rsidRDefault="000A6E38">
      <w:pPr>
        <w:spacing w:after="0" w:line="240" w:lineRule="auto"/>
      </w:pPr>
      <w:r>
        <w:separator/>
      </w:r>
    </w:p>
  </w:footnote>
  <w:footnote w:type="continuationSeparator" w:id="0">
    <w:p w14:paraId="3B62A576" w14:textId="77777777" w:rsidR="000A6E38" w:rsidRDefault="000A6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6E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6E38"/>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60325</TotalTime>
  <Pages>3</Pages>
  <Words>1009</Words>
  <Characters>5754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12193</cp:revision>
  <dcterms:created xsi:type="dcterms:W3CDTF">2024-06-20T08:51:00Z</dcterms:created>
  <dcterms:modified xsi:type="dcterms:W3CDTF">2024-08-24T08:56:00Z</dcterms:modified>
  <cp:category/>
</cp:coreProperties>
</file>