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97AB" w14:textId="755934DC" w:rsidR="00AE1B73" w:rsidRDefault="00033179" w:rsidP="000331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Романенко Олексій Володимирович. Пенітенціарна функція демократичної правової держави та роль громадянського суспільства в механізми її реалізації: дис... канд. юрид. наук: 12.00.08 / Національна академія внутрішніх справ України. - К., 2004</w:t>
      </w:r>
    </w:p>
    <w:p w14:paraId="66EFAEB2" w14:textId="77777777" w:rsidR="00033179" w:rsidRPr="00033179" w:rsidRDefault="00033179" w:rsidP="00033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31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Романенко О.В. Пенітенціарна функція демократичної правової держави та роль громадянського суспільства в механізмі її реалізації. - Рукопис.</w:t>
      </w:r>
    </w:p>
    <w:p w14:paraId="140DE258" w14:textId="77777777" w:rsidR="00033179" w:rsidRPr="00033179" w:rsidRDefault="00033179" w:rsidP="00033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317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 – кримінальне право та кримінологія, кримінально-виконавче право. – Національна академія внутрішніх справ України, Київ, 2004.</w:t>
      </w:r>
    </w:p>
    <w:p w14:paraId="73B11139" w14:textId="77777777" w:rsidR="00033179" w:rsidRPr="00033179" w:rsidRDefault="00033179" w:rsidP="00033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317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комплексним науковим дослідженням участі інститутів громадянського суспільства в реалізації пенітенціарної функції держави. Вперше сформульовано визначення поняття “пенітенціарна функція держави”, доводиться її існування в системі функцій демократичної правової держави. Уточнюється поняття пенітенціарної політики держави, обґрунтовується необхідність участі інститутів громадянського суспільства в її формуванні, пропонується класифікація інститутів громадянського суспільства, які беруть участь у пенітенціарній діяльності, а також напрямків їх роботи, обґрунтовується доцільність введення в Україні інституту тюремних священиків.</w:t>
      </w:r>
    </w:p>
    <w:p w14:paraId="6AEEADF1" w14:textId="77777777" w:rsidR="00033179" w:rsidRPr="00033179" w:rsidRDefault="00033179" w:rsidP="00033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3179">
        <w:rPr>
          <w:rFonts w:ascii="Times New Roman" w:eastAsia="Times New Roman" w:hAnsi="Times New Roman" w:cs="Times New Roman"/>
          <w:color w:val="000000"/>
          <w:sz w:val="27"/>
          <w:szCs w:val="27"/>
        </w:rPr>
        <w:t>Враховуючи можливість і складність постпенітенціарного періоду, автор обґрунтовує необхідність участі інститутів громадянського суспільства в постпенітенціарній діяльності держави, досліджує особливості даного етапу, пропонує можливі форми участі інститутів громадянського суспільства в соціальній адаптації осіб, звільнених з установ виконання покарань. Розроблено пропозиції щодо вдосконалення чинного законодавства.</w:t>
      </w:r>
    </w:p>
    <w:p w14:paraId="7A4DCEEF" w14:textId="77777777" w:rsidR="00033179" w:rsidRPr="00033179" w:rsidRDefault="00033179" w:rsidP="00033179"/>
    <w:sectPr w:rsidR="00033179" w:rsidRPr="000331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5D7E" w14:textId="77777777" w:rsidR="008F51B4" w:rsidRDefault="008F51B4">
      <w:pPr>
        <w:spacing w:after="0" w:line="240" w:lineRule="auto"/>
      </w:pPr>
      <w:r>
        <w:separator/>
      </w:r>
    </w:p>
  </w:endnote>
  <w:endnote w:type="continuationSeparator" w:id="0">
    <w:p w14:paraId="2375962B" w14:textId="77777777" w:rsidR="008F51B4" w:rsidRDefault="008F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8729" w14:textId="77777777" w:rsidR="008F51B4" w:rsidRDefault="008F51B4">
      <w:pPr>
        <w:spacing w:after="0" w:line="240" w:lineRule="auto"/>
      </w:pPr>
      <w:r>
        <w:separator/>
      </w:r>
    </w:p>
  </w:footnote>
  <w:footnote w:type="continuationSeparator" w:id="0">
    <w:p w14:paraId="303F0AEF" w14:textId="77777777" w:rsidR="008F51B4" w:rsidRDefault="008F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1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1B4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39919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8157</cp:revision>
  <dcterms:created xsi:type="dcterms:W3CDTF">2024-06-20T08:51:00Z</dcterms:created>
  <dcterms:modified xsi:type="dcterms:W3CDTF">2024-07-30T11:55:00Z</dcterms:modified>
  <cp:category/>
</cp:coreProperties>
</file>