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8D6EF23" w:rsidR="00F36426" w:rsidRPr="00AC2599" w:rsidRDefault="00AC2599" w:rsidP="00AC2599">
      <w:r>
        <w:rPr>
          <w:rFonts w:ascii="Verdana" w:hAnsi="Verdana"/>
          <w:b/>
          <w:bCs/>
          <w:color w:val="000000"/>
          <w:shd w:val="clear" w:color="auto" w:fill="FFFFFF"/>
        </w:rPr>
        <w:t>Мінасян Наталія Григорівна. Педагогічні умови реалізації естетико-виховного потенціалу уроків зарубіжної художньої культури в старшій школі.- Дисертація канд. пед. наук: 13.00.07, Східноукр. нац. ун-т ім. Володимира Даля. - Луганськ, 2012.- 200 с. : табл.</w:t>
      </w:r>
    </w:p>
    <w:sectPr w:rsidR="00F36426" w:rsidRPr="00AC25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A2A7" w14:textId="77777777" w:rsidR="004430FD" w:rsidRDefault="004430FD">
      <w:pPr>
        <w:spacing w:after="0" w:line="240" w:lineRule="auto"/>
      </w:pPr>
      <w:r>
        <w:separator/>
      </w:r>
    </w:p>
  </w:endnote>
  <w:endnote w:type="continuationSeparator" w:id="0">
    <w:p w14:paraId="6312E0DA" w14:textId="77777777" w:rsidR="004430FD" w:rsidRDefault="0044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AAAB" w14:textId="77777777" w:rsidR="004430FD" w:rsidRDefault="004430FD">
      <w:pPr>
        <w:spacing w:after="0" w:line="240" w:lineRule="auto"/>
      </w:pPr>
      <w:r>
        <w:separator/>
      </w:r>
    </w:p>
  </w:footnote>
  <w:footnote w:type="continuationSeparator" w:id="0">
    <w:p w14:paraId="2FD39419" w14:textId="77777777" w:rsidR="004430FD" w:rsidRDefault="0044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3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30FD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3218</cp:revision>
  <dcterms:created xsi:type="dcterms:W3CDTF">2024-06-20T08:51:00Z</dcterms:created>
  <dcterms:modified xsi:type="dcterms:W3CDTF">2024-07-10T07:23:00Z</dcterms:modified>
  <cp:category/>
</cp:coreProperties>
</file>