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r w:rsidRPr="00A41C78">
        <w:rPr>
          <w:rFonts w:ascii="Times New Roman" w:eastAsia="Times New Roman" w:hAnsi="Times New Roman" w:cs="Times New Roman"/>
          <w:b/>
          <w:noProof/>
          <w:kern w:val="0"/>
          <w:sz w:val="28"/>
          <w:szCs w:val="24"/>
          <w:lang w:val="uk-UA" w:eastAsia="uk-UA"/>
        </w:rPr>
        <w:t>ЖИТОМИСЬКИЙ ДЕРЖАВНИЙ УНІВЕРСИТЕТ</w:t>
      </w: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noProof/>
          <w:kern w:val="0"/>
          <w:sz w:val="28"/>
          <w:szCs w:val="24"/>
          <w:lang w:val="uk-UA" w:eastAsia="uk-UA"/>
        </w:rPr>
      </w:pPr>
      <w:r w:rsidRPr="00A41C78">
        <w:rPr>
          <w:rFonts w:ascii="Times New Roman" w:eastAsia="Times New Roman" w:hAnsi="Times New Roman" w:cs="Times New Roman"/>
          <w:b/>
          <w:noProof/>
          <w:kern w:val="0"/>
          <w:sz w:val="28"/>
          <w:szCs w:val="24"/>
          <w:lang w:val="uk-UA" w:eastAsia="uk-UA"/>
        </w:rPr>
        <w:t>ІМЕНІ ІВАНА ФРАНКА</w:t>
      </w: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p>
    <w:p w:rsidR="00A41C78" w:rsidRPr="00A41C78" w:rsidRDefault="00A41C78" w:rsidP="00A41C78">
      <w:pPr>
        <w:tabs>
          <w:tab w:val="clear" w:pos="709"/>
          <w:tab w:val="left" w:pos="8647"/>
        </w:tabs>
        <w:suppressAutoHyphens w:val="0"/>
        <w:spacing w:after="0" w:line="360" w:lineRule="auto"/>
        <w:ind w:firstLine="0"/>
        <w:jc w:val="right"/>
        <w:rPr>
          <w:rFonts w:ascii="Times New Roman" w:eastAsia="Times New Roman" w:hAnsi="Times New Roman" w:cs="Times New Roman"/>
          <w:noProof/>
          <w:kern w:val="0"/>
          <w:sz w:val="28"/>
          <w:szCs w:val="24"/>
          <w:lang w:val="uk-UA" w:eastAsia="uk-UA"/>
        </w:rPr>
      </w:pPr>
      <w:r w:rsidRPr="00A41C78">
        <w:rPr>
          <w:rFonts w:ascii="Times New Roman" w:eastAsia="Times New Roman" w:hAnsi="Times New Roman" w:cs="Times New Roman"/>
          <w:kern w:val="0"/>
          <w:sz w:val="28"/>
          <w:szCs w:val="24"/>
          <w:lang w:val="uk-UA" w:eastAsia="uk-UA"/>
        </w:rPr>
        <w:t>На правах рукопису</w:t>
      </w: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r w:rsidRPr="00A41C78">
        <w:rPr>
          <w:rFonts w:ascii="Times New Roman" w:eastAsia="Times New Roman" w:hAnsi="Times New Roman" w:cs="Times New Roman"/>
          <w:b/>
          <w:kern w:val="0"/>
          <w:sz w:val="28"/>
          <w:szCs w:val="24"/>
          <w:lang w:val="uk-UA" w:eastAsia="uk-UA"/>
        </w:rPr>
        <w:t>ПАВЛЕНКО ВІТА ВІТАЛІЇВНА</w:t>
      </w: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p>
    <w:p w:rsidR="00A41C78" w:rsidRPr="00A41C78" w:rsidRDefault="00A41C78" w:rsidP="00A41C78">
      <w:pPr>
        <w:tabs>
          <w:tab w:val="clear" w:pos="709"/>
          <w:tab w:val="left" w:pos="8647"/>
        </w:tabs>
        <w:suppressAutoHyphens w:val="0"/>
        <w:spacing w:after="0" w:line="360" w:lineRule="auto"/>
        <w:ind w:firstLine="0"/>
        <w:jc w:val="right"/>
        <w:rPr>
          <w:rFonts w:ascii="Times New Roman" w:eastAsia="Times New Roman" w:hAnsi="Times New Roman" w:cs="Times New Roman"/>
          <w:kern w:val="0"/>
          <w:sz w:val="28"/>
          <w:szCs w:val="24"/>
          <w:lang w:val="uk-UA" w:eastAsia="uk-UA"/>
        </w:rPr>
      </w:pPr>
      <w:r w:rsidRPr="00A41C78">
        <w:rPr>
          <w:rFonts w:ascii="Times New Roman" w:eastAsia="Times New Roman" w:hAnsi="Times New Roman" w:cs="Times New Roman"/>
          <w:kern w:val="0"/>
          <w:sz w:val="28"/>
          <w:szCs w:val="24"/>
          <w:lang w:val="uk-UA" w:eastAsia="uk-UA"/>
        </w:rPr>
        <w:t xml:space="preserve">УДК 37(09)(47.742) </w:t>
      </w:r>
      <w:r w:rsidRPr="00A41C78">
        <w:rPr>
          <w:rFonts w:ascii="Times New Roman" w:eastAsia="Times New Roman" w:hAnsi="Times New Roman" w:cs="Times New Roman"/>
          <w:b/>
          <w:kern w:val="0"/>
          <w:sz w:val="28"/>
          <w:szCs w:val="24"/>
          <w:lang w:val="uk-UA" w:eastAsia="uk-UA"/>
        </w:rPr>
        <w:t>"</w:t>
      </w:r>
      <w:r w:rsidRPr="00A41C78">
        <w:rPr>
          <w:rFonts w:ascii="Times New Roman" w:eastAsia="Times New Roman" w:hAnsi="Times New Roman" w:cs="Times New Roman"/>
          <w:kern w:val="0"/>
          <w:sz w:val="28"/>
          <w:szCs w:val="24"/>
          <w:lang w:val="uk-UA" w:eastAsia="uk-UA"/>
        </w:rPr>
        <w:t>18/1920</w:t>
      </w:r>
      <w:r w:rsidRPr="00A41C78">
        <w:rPr>
          <w:rFonts w:ascii="Times New Roman" w:eastAsia="Times New Roman" w:hAnsi="Times New Roman" w:cs="Times New Roman"/>
          <w:b/>
          <w:kern w:val="0"/>
          <w:sz w:val="28"/>
          <w:szCs w:val="24"/>
          <w:lang w:val="uk-UA" w:eastAsia="uk-UA"/>
        </w:rPr>
        <w:t>"</w:t>
      </w: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kern w:val="0"/>
          <w:sz w:val="28"/>
          <w:szCs w:val="24"/>
          <w:lang w:val="uk-UA" w:eastAsia="uk-UA"/>
        </w:rPr>
      </w:pP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r w:rsidRPr="00A41C78">
        <w:rPr>
          <w:rFonts w:ascii="Times New Roman" w:eastAsia="Times New Roman" w:hAnsi="Times New Roman" w:cs="Times New Roman"/>
          <w:b/>
          <w:kern w:val="0"/>
          <w:sz w:val="28"/>
          <w:szCs w:val="24"/>
          <w:lang w:val="uk-UA" w:eastAsia="uk-UA"/>
        </w:rPr>
        <w:t>ОСВІТНЬО-ПРОСВІТНИЦЬКА ДІЯЛЬНІСТЬ</w:t>
      </w: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r w:rsidRPr="00A41C78">
        <w:rPr>
          <w:rFonts w:ascii="Times New Roman" w:eastAsia="Times New Roman" w:hAnsi="Times New Roman" w:cs="Times New Roman"/>
          <w:b/>
          <w:kern w:val="0"/>
          <w:sz w:val="28"/>
          <w:szCs w:val="24"/>
          <w:lang w:val="uk-UA" w:eastAsia="uk-UA"/>
        </w:rPr>
        <w:t>ІНОЗЕМНИХ ПЕДАГОГІВ НА ВОЛИНІ</w:t>
      </w: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r w:rsidRPr="00A41C78">
        <w:rPr>
          <w:rFonts w:ascii="Times New Roman" w:eastAsia="Times New Roman" w:hAnsi="Times New Roman" w:cs="Times New Roman"/>
          <w:b/>
          <w:kern w:val="0"/>
          <w:sz w:val="28"/>
          <w:szCs w:val="24"/>
          <w:lang w:val="uk-UA" w:eastAsia="uk-UA"/>
        </w:rPr>
        <w:t>(XIХ – початок ХХ ст.)</w:t>
      </w: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kern w:val="0"/>
          <w:sz w:val="28"/>
          <w:szCs w:val="24"/>
          <w:lang w:val="uk-UA" w:eastAsia="uk-UA"/>
        </w:rPr>
      </w:pPr>
      <w:r w:rsidRPr="00A41C78">
        <w:rPr>
          <w:rFonts w:ascii="Times New Roman" w:eastAsia="Times New Roman" w:hAnsi="Times New Roman" w:cs="Times New Roman"/>
          <w:kern w:val="0"/>
          <w:sz w:val="28"/>
          <w:szCs w:val="24"/>
          <w:lang w:val="uk-UA" w:eastAsia="uk-UA"/>
        </w:rPr>
        <w:t>13.00.01 – загальна педагогіка та історія педагогіки</w:t>
      </w: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kern w:val="0"/>
          <w:sz w:val="28"/>
          <w:szCs w:val="24"/>
          <w:lang w:val="uk-UA" w:eastAsia="uk-UA"/>
        </w:rPr>
      </w:pPr>
      <w:r w:rsidRPr="00A41C78">
        <w:rPr>
          <w:rFonts w:ascii="Times New Roman" w:eastAsia="Times New Roman" w:hAnsi="Times New Roman" w:cs="Times New Roman"/>
          <w:kern w:val="0"/>
          <w:sz w:val="28"/>
          <w:szCs w:val="24"/>
          <w:lang w:val="uk-UA" w:eastAsia="uk-UA"/>
        </w:rPr>
        <w:t xml:space="preserve">Дисертація на здобуття наукового ступеня </w:t>
      </w: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kern w:val="0"/>
          <w:sz w:val="28"/>
          <w:szCs w:val="24"/>
          <w:lang w:val="uk-UA" w:eastAsia="uk-UA"/>
        </w:rPr>
      </w:pPr>
      <w:r w:rsidRPr="00A41C78">
        <w:rPr>
          <w:rFonts w:ascii="Times New Roman" w:eastAsia="Times New Roman" w:hAnsi="Times New Roman" w:cs="Times New Roman"/>
          <w:kern w:val="0"/>
          <w:sz w:val="28"/>
          <w:szCs w:val="24"/>
          <w:lang w:val="uk-UA" w:eastAsia="uk-UA"/>
        </w:rPr>
        <w:t>кандидата педагогічних наук</w:t>
      </w: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kern w:val="0"/>
          <w:sz w:val="28"/>
          <w:szCs w:val="24"/>
          <w:lang w:val="uk-UA" w:eastAsia="uk-UA"/>
        </w:rPr>
      </w:pP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kern w:val="0"/>
          <w:sz w:val="28"/>
          <w:szCs w:val="24"/>
          <w:lang w:val="uk-UA" w:eastAsia="uk-UA"/>
        </w:rPr>
      </w:pP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kern w:val="0"/>
          <w:sz w:val="28"/>
          <w:szCs w:val="24"/>
          <w:lang w:val="uk-UA" w:eastAsia="uk-UA"/>
        </w:rPr>
      </w:pPr>
    </w:p>
    <w:p w:rsidR="00A41C78" w:rsidRPr="00A41C78" w:rsidRDefault="00A41C78" w:rsidP="00A41C78">
      <w:pPr>
        <w:tabs>
          <w:tab w:val="clear" w:pos="709"/>
          <w:tab w:val="left" w:pos="4860"/>
          <w:tab w:val="left" w:pos="8647"/>
        </w:tabs>
        <w:suppressAutoHyphens w:val="0"/>
        <w:spacing w:after="0" w:line="360" w:lineRule="auto"/>
        <w:ind w:firstLine="0"/>
        <w:jc w:val="right"/>
        <w:rPr>
          <w:rFonts w:ascii="Times New Roman" w:eastAsia="Times New Roman" w:hAnsi="Times New Roman" w:cs="Times New Roman"/>
          <w:kern w:val="0"/>
          <w:sz w:val="28"/>
          <w:szCs w:val="24"/>
          <w:lang w:val="uk-UA" w:eastAsia="uk-UA"/>
        </w:rPr>
      </w:pPr>
      <w:r w:rsidRPr="00A41C78">
        <w:rPr>
          <w:rFonts w:ascii="Times New Roman" w:eastAsia="Times New Roman" w:hAnsi="Times New Roman" w:cs="Times New Roman"/>
          <w:kern w:val="0"/>
          <w:sz w:val="28"/>
          <w:szCs w:val="24"/>
          <w:lang w:val="uk-UA" w:eastAsia="uk-UA"/>
        </w:rPr>
        <w:t>Науковий керівник</w:t>
      </w:r>
      <w:r w:rsidRPr="00A41C78">
        <w:rPr>
          <w:rFonts w:ascii="Times New Roman" w:eastAsia="Times New Roman" w:hAnsi="Times New Roman" w:cs="Times New Roman"/>
          <w:kern w:val="0"/>
          <w:sz w:val="28"/>
          <w:szCs w:val="24"/>
          <w:lang w:eastAsia="uk-UA"/>
        </w:rPr>
        <w:t>:</w:t>
      </w:r>
    </w:p>
    <w:p w:rsidR="00A41C78" w:rsidRPr="00A41C78" w:rsidRDefault="00A41C78" w:rsidP="00A41C78">
      <w:pPr>
        <w:tabs>
          <w:tab w:val="clear" w:pos="709"/>
          <w:tab w:val="left" w:pos="8647"/>
        </w:tabs>
        <w:suppressAutoHyphens w:val="0"/>
        <w:spacing w:after="0" w:line="360" w:lineRule="auto"/>
        <w:ind w:firstLine="0"/>
        <w:jc w:val="right"/>
        <w:rPr>
          <w:rFonts w:ascii="Times New Roman" w:eastAsia="Times New Roman" w:hAnsi="Times New Roman" w:cs="Times New Roman"/>
          <w:kern w:val="0"/>
          <w:sz w:val="28"/>
          <w:szCs w:val="24"/>
          <w:lang w:val="uk-UA" w:eastAsia="uk-UA"/>
        </w:rPr>
      </w:pPr>
      <w:r w:rsidRPr="00A41C78">
        <w:rPr>
          <w:rFonts w:ascii="Times New Roman" w:eastAsia="Times New Roman" w:hAnsi="Times New Roman" w:cs="Times New Roman"/>
          <w:kern w:val="0"/>
          <w:sz w:val="28"/>
          <w:szCs w:val="24"/>
          <w:lang w:val="uk-UA" w:eastAsia="uk-UA"/>
        </w:rPr>
        <w:t>Левківський Михайло Васильович,</w:t>
      </w:r>
    </w:p>
    <w:p w:rsidR="00A41C78" w:rsidRPr="00A41C78" w:rsidRDefault="00A41C78" w:rsidP="00A41C78">
      <w:pPr>
        <w:tabs>
          <w:tab w:val="clear" w:pos="709"/>
          <w:tab w:val="left" w:pos="8647"/>
        </w:tabs>
        <w:suppressAutoHyphens w:val="0"/>
        <w:spacing w:after="0" w:line="360" w:lineRule="auto"/>
        <w:ind w:firstLine="0"/>
        <w:jc w:val="right"/>
        <w:rPr>
          <w:rFonts w:ascii="Times New Roman" w:eastAsia="Times New Roman" w:hAnsi="Times New Roman" w:cs="Times New Roman"/>
          <w:kern w:val="0"/>
          <w:sz w:val="28"/>
          <w:szCs w:val="24"/>
          <w:lang w:eastAsia="uk-UA"/>
        </w:rPr>
      </w:pPr>
      <w:r w:rsidRPr="00A41C78">
        <w:rPr>
          <w:rFonts w:ascii="Times New Roman" w:eastAsia="Times New Roman" w:hAnsi="Times New Roman" w:cs="Times New Roman"/>
          <w:kern w:val="0"/>
          <w:sz w:val="28"/>
          <w:szCs w:val="24"/>
          <w:lang w:val="uk-UA" w:eastAsia="uk-UA"/>
        </w:rPr>
        <w:t>доктор педагогічних наук,</w:t>
      </w:r>
      <w:r w:rsidRPr="00A41C78">
        <w:rPr>
          <w:rFonts w:ascii="Times New Roman" w:eastAsia="Times New Roman" w:hAnsi="Times New Roman" w:cs="Times New Roman"/>
          <w:kern w:val="0"/>
          <w:sz w:val="28"/>
          <w:szCs w:val="24"/>
          <w:lang w:eastAsia="uk-UA"/>
        </w:rPr>
        <w:t xml:space="preserve"> </w:t>
      </w:r>
      <w:r w:rsidRPr="00A41C78">
        <w:rPr>
          <w:rFonts w:ascii="Times New Roman" w:eastAsia="Times New Roman" w:hAnsi="Times New Roman" w:cs="Times New Roman"/>
          <w:kern w:val="0"/>
          <w:sz w:val="28"/>
          <w:szCs w:val="24"/>
          <w:lang w:val="uk-UA" w:eastAsia="uk-UA"/>
        </w:rPr>
        <w:t>професор</w:t>
      </w: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kern w:val="0"/>
          <w:sz w:val="28"/>
          <w:szCs w:val="24"/>
          <w:lang w:eastAsia="uk-UA"/>
        </w:rPr>
      </w:pPr>
      <w:r w:rsidRPr="00A41C78">
        <w:rPr>
          <w:rFonts w:ascii="Times New Roman" w:eastAsia="Times New Roman" w:hAnsi="Times New Roman" w:cs="Times New Roman"/>
          <w:kern w:val="0"/>
          <w:sz w:val="28"/>
          <w:szCs w:val="24"/>
          <w:lang w:eastAsia="uk-UA"/>
        </w:rPr>
        <w:t>Житомир – 2010</w:t>
      </w: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noProof/>
          <w:kern w:val="0"/>
          <w:sz w:val="28"/>
          <w:szCs w:val="24"/>
          <w:lang w:val="en-US" w:eastAsia="uk-UA"/>
        </w:rPr>
      </w:pPr>
      <w:r w:rsidRPr="00A41C78">
        <w:rPr>
          <w:rFonts w:ascii="Times New Roman" w:eastAsia="Times New Roman" w:hAnsi="Times New Roman" w:cs="Times New Roman"/>
          <w:b/>
          <w:caps/>
          <w:kern w:val="0"/>
          <w:sz w:val="28"/>
          <w:szCs w:val="28"/>
          <w:lang w:val="uk-UA" w:eastAsia="uk-UA"/>
        </w:rPr>
        <w:br w:type="page"/>
      </w:r>
      <w:r w:rsidRPr="00A41C78">
        <w:rPr>
          <w:rFonts w:ascii="Times New Roman" w:eastAsia="Times New Roman" w:hAnsi="Times New Roman" w:cs="Times New Roman"/>
          <w:b/>
          <w:noProof/>
          <w:kern w:val="0"/>
          <w:sz w:val="28"/>
          <w:szCs w:val="24"/>
          <w:lang w:val="uk-UA" w:eastAsia="uk-UA"/>
        </w:rPr>
        <w:t>ЗМІСТ</w:t>
      </w:r>
    </w:p>
    <w:p w:rsidR="00A41C78" w:rsidRPr="00A41C78" w:rsidRDefault="00A41C78" w:rsidP="00A41C78">
      <w:pPr>
        <w:tabs>
          <w:tab w:val="clear" w:pos="709"/>
          <w:tab w:val="left" w:pos="8647"/>
        </w:tabs>
        <w:suppressAutoHyphens w:val="0"/>
        <w:spacing w:after="0" w:line="360" w:lineRule="auto"/>
        <w:ind w:firstLine="0"/>
        <w:jc w:val="center"/>
        <w:rPr>
          <w:rFonts w:ascii="Times New Roman" w:eastAsia="Times New Roman" w:hAnsi="Times New Roman" w:cs="Times New Roman"/>
          <w:b/>
          <w:noProof/>
          <w:kern w:val="0"/>
          <w:sz w:val="28"/>
          <w:szCs w:val="24"/>
          <w:lang w:val="en-US" w:eastAsia="uk-UA"/>
        </w:rPr>
      </w:pPr>
    </w:p>
    <w:tbl>
      <w:tblPr>
        <w:tblW w:w="0" w:type="auto"/>
        <w:tblLook w:val="01E0"/>
      </w:tblPr>
      <w:tblGrid>
        <w:gridCol w:w="1327"/>
        <w:gridCol w:w="171"/>
        <w:gridCol w:w="7389"/>
        <w:gridCol w:w="607"/>
      </w:tblGrid>
      <w:tr w:rsidR="00A41C78" w:rsidRPr="00A41C78" w:rsidTr="00693E57">
        <w:trPr>
          <w:trHeight w:val="420"/>
        </w:trPr>
        <w:tc>
          <w:tcPr>
            <w:tcW w:w="1498" w:type="dxa"/>
            <w:gridSpan w:val="2"/>
          </w:tcPr>
          <w:p w:rsidR="00A41C78" w:rsidRPr="00A41C78" w:rsidRDefault="00A41C78" w:rsidP="00A41C78">
            <w:pPr>
              <w:tabs>
                <w:tab w:val="clear" w:pos="709"/>
                <w:tab w:val="left" w:pos="9354"/>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 xml:space="preserve">ВСТУП </w:t>
            </w:r>
          </w:p>
        </w:tc>
        <w:tc>
          <w:tcPr>
            <w:tcW w:w="7389" w:type="dxa"/>
          </w:tcPr>
          <w:p w:rsidR="00A41C78" w:rsidRPr="00A41C78" w:rsidRDefault="00A41C78" w:rsidP="00A41C78">
            <w:pPr>
              <w:tabs>
                <w:tab w:val="clear" w:pos="709"/>
                <w:tab w:val="left" w:pos="9354"/>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………………………………………………………………..4</w:t>
            </w:r>
          </w:p>
        </w:tc>
        <w:tc>
          <w:tcPr>
            <w:tcW w:w="607" w:type="dxa"/>
            <w:vMerge w:val="restart"/>
          </w:tcPr>
          <w:p w:rsidR="00A41C78" w:rsidRPr="00A41C78" w:rsidRDefault="00A41C78" w:rsidP="00A41C78">
            <w:pPr>
              <w:tabs>
                <w:tab w:val="clear" w:pos="709"/>
                <w:tab w:val="left" w:pos="9354"/>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tc>
      </w:tr>
      <w:tr w:rsidR="00A41C78" w:rsidRPr="00A41C78" w:rsidTr="00693E57">
        <w:trPr>
          <w:trHeight w:val="885"/>
        </w:trPr>
        <w:tc>
          <w:tcPr>
            <w:tcW w:w="8887" w:type="dxa"/>
            <w:gridSpan w:val="3"/>
          </w:tcPr>
          <w:p w:rsidR="00A41C78" w:rsidRPr="00A41C78" w:rsidRDefault="00A41C78" w:rsidP="00A41C78">
            <w:pPr>
              <w:tabs>
                <w:tab w:val="clear" w:pos="709"/>
                <w:tab w:val="left" w:pos="9354"/>
              </w:tabs>
              <w:suppressAutoHyphens w:val="0"/>
              <w:spacing w:after="0" w:line="360" w:lineRule="auto"/>
              <w:ind w:firstLine="0"/>
              <w:rPr>
                <w:rFonts w:ascii="Times New Roman" w:eastAsia="Times New Roman" w:hAnsi="Times New Roman" w:cs="Times New Roman"/>
                <w:b/>
                <w:kern w:val="0"/>
                <w:sz w:val="28"/>
                <w:szCs w:val="28"/>
                <w:lang w:val="uk-UA" w:eastAsia="uk-UA"/>
              </w:rPr>
            </w:pPr>
            <w:r w:rsidRPr="00A41C78">
              <w:rPr>
                <w:rFonts w:ascii="Times New Roman" w:eastAsia="Times New Roman" w:hAnsi="Times New Roman" w:cs="Times New Roman"/>
                <w:b/>
                <w:kern w:val="0"/>
                <w:sz w:val="28"/>
                <w:szCs w:val="28"/>
                <w:lang w:val="uk-UA" w:eastAsia="uk-UA"/>
              </w:rPr>
              <w:t xml:space="preserve">РОЗДІЛ 1. ДІЯЛЬНІСТЬ ІНОЗЕМНИХ ПЕДАГОГІВ У ІСТОРІЇ РОЗВИТКУ ОСВІТИ В УКРАЇНІ ЯК НАУКОВО-ТЕОРЕТИЧНА ТА ІСТОРИКО-ПЕДАГОГІЧНА ПРОБЛЕМА </w:t>
            </w:r>
            <w:r w:rsidRPr="00A41C78">
              <w:rPr>
                <w:rFonts w:ascii="Times New Roman" w:eastAsia="Times New Roman" w:hAnsi="Times New Roman" w:cs="Times New Roman"/>
                <w:kern w:val="0"/>
                <w:sz w:val="28"/>
                <w:szCs w:val="28"/>
                <w:lang w:val="uk-UA" w:eastAsia="uk-UA"/>
              </w:rPr>
              <w:t>……………………13</w:t>
            </w:r>
          </w:p>
        </w:tc>
        <w:tc>
          <w:tcPr>
            <w:tcW w:w="0" w:type="auto"/>
            <w:vMerge/>
            <w:vAlign w:val="center"/>
          </w:tcPr>
          <w:p w:rsidR="00A41C78" w:rsidRPr="00A41C78" w:rsidRDefault="00A41C78" w:rsidP="00A41C78">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tc>
      </w:tr>
      <w:tr w:rsidR="00A41C78" w:rsidRPr="00A41C78" w:rsidTr="00693E57">
        <w:trPr>
          <w:trHeight w:val="2610"/>
        </w:trPr>
        <w:tc>
          <w:tcPr>
            <w:tcW w:w="1327" w:type="dxa"/>
          </w:tcPr>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1.1.</w:t>
            </w: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1.2.</w:t>
            </w: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tc>
        <w:tc>
          <w:tcPr>
            <w:tcW w:w="7560" w:type="dxa"/>
            <w:gridSpan w:val="2"/>
          </w:tcPr>
          <w:p w:rsidR="00A41C78" w:rsidRPr="00A41C78" w:rsidRDefault="00A41C78" w:rsidP="00A41C78">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Історіографія проблеми дослідження – діяльності іноземних педагогів на Волині (ХІХ – поч. ХХ ст.) …………………13</w:t>
            </w:r>
          </w:p>
          <w:p w:rsidR="00A41C78" w:rsidRPr="00A41C78" w:rsidRDefault="00A41C78" w:rsidP="00A41C78">
            <w:pPr>
              <w:tabs>
                <w:tab w:val="clear" w:pos="709"/>
                <w:tab w:val="left" w:pos="9354"/>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Стан освіти на Волині у досліджуваний період як загальний контекст діяльності іноземних педагогів ……………….….36</w:t>
            </w:r>
          </w:p>
          <w:p w:rsidR="00A41C78" w:rsidRPr="00A41C78" w:rsidRDefault="00A41C78" w:rsidP="00A41C78">
            <w:pPr>
              <w:tabs>
                <w:tab w:val="clear" w:pos="709"/>
                <w:tab w:val="left" w:pos="9354"/>
              </w:tabs>
              <w:suppressAutoHyphens w:val="0"/>
              <w:spacing w:after="0" w:line="360" w:lineRule="auto"/>
              <w:ind w:firstLine="0"/>
              <w:rPr>
                <w:rFonts w:ascii="Times New Roman" w:eastAsia="Times New Roman" w:hAnsi="Times New Roman" w:cs="Times New Roman"/>
                <w:b/>
                <w:kern w:val="0"/>
                <w:sz w:val="28"/>
                <w:szCs w:val="28"/>
                <w:lang w:val="uk-UA" w:eastAsia="uk-UA"/>
              </w:rPr>
            </w:pPr>
            <w:r w:rsidRPr="00A41C78">
              <w:rPr>
                <w:rFonts w:ascii="Times New Roman" w:eastAsia="Times New Roman" w:hAnsi="Times New Roman" w:cs="Times New Roman"/>
                <w:b/>
                <w:kern w:val="0"/>
                <w:sz w:val="28"/>
                <w:szCs w:val="28"/>
                <w:lang w:val="uk-UA" w:eastAsia="uk-UA"/>
              </w:rPr>
              <w:t xml:space="preserve">Висновки до розділу 1 </w:t>
            </w:r>
            <w:r w:rsidRPr="00A41C78">
              <w:rPr>
                <w:rFonts w:ascii="Times New Roman" w:eastAsia="Times New Roman" w:hAnsi="Times New Roman" w:cs="Times New Roman"/>
                <w:kern w:val="0"/>
                <w:sz w:val="28"/>
                <w:szCs w:val="28"/>
                <w:lang w:val="uk-UA" w:eastAsia="uk-UA"/>
              </w:rPr>
              <w:t>……………………………………...58</w:t>
            </w:r>
          </w:p>
        </w:tc>
        <w:tc>
          <w:tcPr>
            <w:tcW w:w="0" w:type="auto"/>
            <w:vMerge/>
            <w:vAlign w:val="center"/>
          </w:tcPr>
          <w:p w:rsidR="00A41C78" w:rsidRPr="00A41C78" w:rsidRDefault="00A41C78" w:rsidP="00A41C78">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tc>
      </w:tr>
      <w:tr w:rsidR="00A41C78" w:rsidRPr="00A41C78" w:rsidTr="00693E57">
        <w:trPr>
          <w:trHeight w:val="900"/>
        </w:trPr>
        <w:tc>
          <w:tcPr>
            <w:tcW w:w="8887" w:type="dxa"/>
            <w:gridSpan w:val="3"/>
          </w:tcPr>
          <w:p w:rsidR="00A41C78" w:rsidRPr="00A41C78" w:rsidRDefault="00A41C78" w:rsidP="00A41C78">
            <w:pPr>
              <w:tabs>
                <w:tab w:val="clear" w:pos="709"/>
                <w:tab w:val="left" w:pos="9354"/>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 xml:space="preserve">РОЗДІЛ 2. ЗМІСТ ТА ЗАГАЛЬНІ ТЕНДЕНЦІЇ ОСВІТНЬО-ПРОСВІТНИЦЬКОЇ ДІЯЛЬНОСТІ ІНОЗЕМНИХ ПЕДАГОГІВ НА ВОЛИНІ (ХХ – ПОЧ. ХХ СТ.) </w:t>
            </w:r>
            <w:r w:rsidRPr="00A41C78">
              <w:rPr>
                <w:rFonts w:ascii="Times New Roman" w:eastAsia="Times New Roman" w:hAnsi="Times New Roman" w:cs="Times New Roman"/>
                <w:kern w:val="0"/>
                <w:sz w:val="28"/>
                <w:szCs w:val="28"/>
                <w:lang w:val="uk-UA" w:eastAsia="uk-UA"/>
              </w:rPr>
              <w:t>…………………………………………61</w:t>
            </w:r>
          </w:p>
        </w:tc>
        <w:tc>
          <w:tcPr>
            <w:tcW w:w="0" w:type="auto"/>
            <w:vMerge/>
            <w:vAlign w:val="center"/>
          </w:tcPr>
          <w:p w:rsidR="00A41C78" w:rsidRPr="00A41C78" w:rsidRDefault="00A41C78" w:rsidP="00A41C78">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tc>
      </w:tr>
      <w:tr w:rsidR="00A41C78" w:rsidRPr="00A41C78" w:rsidTr="00693E57">
        <w:trPr>
          <w:trHeight w:val="2625"/>
        </w:trPr>
        <w:tc>
          <w:tcPr>
            <w:tcW w:w="1327" w:type="dxa"/>
          </w:tcPr>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2.1.</w:t>
            </w: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2.2.</w:t>
            </w: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2.3.</w:t>
            </w: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2.3.1.</w:t>
            </w: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2.3.2.</w:t>
            </w: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2.4.</w:t>
            </w:r>
          </w:p>
          <w:p w:rsidR="00A41C78" w:rsidRPr="00A41C78" w:rsidRDefault="00A41C78" w:rsidP="00A41C78">
            <w:pPr>
              <w:tabs>
                <w:tab w:val="clear" w:pos="709"/>
                <w:tab w:val="left" w:pos="9354"/>
              </w:tabs>
              <w:suppressAutoHyphens w:val="0"/>
              <w:spacing w:after="0" w:line="360" w:lineRule="auto"/>
              <w:ind w:firstLine="0"/>
              <w:rPr>
                <w:rFonts w:ascii="Times New Roman" w:eastAsia="Times New Roman" w:hAnsi="Times New Roman" w:cs="Times New Roman"/>
                <w:kern w:val="0"/>
                <w:sz w:val="28"/>
                <w:szCs w:val="28"/>
                <w:lang w:val="uk-UA" w:eastAsia="uk-UA"/>
              </w:rPr>
            </w:pPr>
          </w:p>
        </w:tc>
        <w:tc>
          <w:tcPr>
            <w:tcW w:w="7560" w:type="dxa"/>
            <w:gridSpan w:val="2"/>
          </w:tcPr>
          <w:p w:rsidR="00A41C78" w:rsidRPr="00A41C78" w:rsidRDefault="00A41C78" w:rsidP="00A41C78">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Історичні, соціально-політичні, соціально-економічні та соціокультурні передумови діяльності іноземних педагогів на Волині ……………………………………………………..61</w:t>
            </w:r>
          </w:p>
          <w:p w:rsidR="00A41C78" w:rsidRPr="00A41C78" w:rsidRDefault="00A41C78" w:rsidP="00A41C78">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Викладацька та репетиторська діяльність іноземних педагогів у приватних освітніх установах Волині ………...78</w:t>
            </w:r>
          </w:p>
          <w:p w:rsidR="00A41C78" w:rsidRPr="00A41C78" w:rsidRDefault="00A41C78" w:rsidP="00A41C78">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Зміст та форми діяльності іноземних педагогів у чоловічих і жіночих гімназіях Волині …………………………………97</w:t>
            </w:r>
          </w:p>
          <w:p w:rsidR="00A41C78" w:rsidRPr="00A41C78" w:rsidRDefault="00A41C78" w:rsidP="00A41C78">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Загальні характеристики діяльності іноземних педагогів у середніх навчальних закладах Волині ……………………...97</w:t>
            </w:r>
          </w:p>
          <w:p w:rsidR="00A41C78" w:rsidRPr="00A41C78" w:rsidRDefault="00A41C78" w:rsidP="00A41C78">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Науково-методичні засади діяльності іноземних педагогів у навчальних закладах Волині ……………………………….109</w:t>
            </w:r>
          </w:p>
          <w:p w:rsidR="00A41C78" w:rsidRPr="00A41C78" w:rsidRDefault="00A41C78" w:rsidP="00A41C78">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 xml:space="preserve">Освітньо-просвітницька діяльність іноземців на Волині </w:t>
            </w:r>
            <w:r w:rsidRPr="00A41C78">
              <w:rPr>
                <w:rFonts w:ascii="Times New Roman" w:eastAsia="Times New Roman" w:hAnsi="Times New Roman" w:cs="Times New Roman"/>
                <w:kern w:val="0"/>
                <w:sz w:val="28"/>
                <w:szCs w:val="28"/>
                <w:lang w:eastAsia="uk-UA"/>
              </w:rPr>
              <w:t>як</w:t>
            </w:r>
            <w:r w:rsidRPr="00A41C78">
              <w:rPr>
                <w:rFonts w:ascii="Times New Roman" w:eastAsia="Times New Roman" w:hAnsi="Times New Roman" w:cs="Times New Roman"/>
                <w:kern w:val="0"/>
                <w:sz w:val="28"/>
                <w:szCs w:val="28"/>
                <w:lang w:val="uk-UA" w:eastAsia="uk-UA"/>
              </w:rPr>
              <w:t xml:space="preserve"> чинник загального розвитку освіти краю …………………113</w:t>
            </w:r>
          </w:p>
          <w:p w:rsidR="00A41C78" w:rsidRPr="00A41C78" w:rsidRDefault="00A41C78" w:rsidP="00A41C78">
            <w:pPr>
              <w:tabs>
                <w:tab w:val="clear" w:pos="709"/>
                <w:tab w:val="left" w:pos="9354"/>
              </w:tabs>
              <w:suppressAutoHyphens w:val="0"/>
              <w:spacing w:after="0" w:line="360" w:lineRule="auto"/>
              <w:ind w:firstLine="0"/>
              <w:rPr>
                <w:rFonts w:ascii="Times New Roman" w:eastAsia="Times New Roman" w:hAnsi="Times New Roman" w:cs="Times New Roman"/>
                <w:b/>
                <w:kern w:val="0"/>
                <w:sz w:val="28"/>
                <w:szCs w:val="28"/>
                <w:lang w:val="uk-UA" w:eastAsia="uk-UA"/>
              </w:rPr>
            </w:pPr>
            <w:r w:rsidRPr="00A41C78">
              <w:rPr>
                <w:rFonts w:ascii="Times New Roman" w:eastAsia="Times New Roman" w:hAnsi="Times New Roman" w:cs="Times New Roman"/>
                <w:b/>
                <w:kern w:val="0"/>
                <w:sz w:val="28"/>
                <w:szCs w:val="28"/>
                <w:lang w:val="uk-UA" w:eastAsia="uk-UA"/>
              </w:rPr>
              <w:t xml:space="preserve">Висновки до розділу 2 </w:t>
            </w:r>
            <w:r w:rsidRPr="00A41C78">
              <w:rPr>
                <w:rFonts w:ascii="Times New Roman" w:eastAsia="Times New Roman" w:hAnsi="Times New Roman" w:cs="Times New Roman"/>
                <w:kern w:val="0"/>
                <w:sz w:val="28"/>
                <w:szCs w:val="28"/>
                <w:lang w:val="uk-UA" w:eastAsia="uk-UA"/>
              </w:rPr>
              <w:t>…………………………………….127</w:t>
            </w:r>
          </w:p>
        </w:tc>
        <w:tc>
          <w:tcPr>
            <w:tcW w:w="0" w:type="auto"/>
            <w:vMerge/>
            <w:vAlign w:val="center"/>
          </w:tcPr>
          <w:p w:rsidR="00A41C78" w:rsidRPr="00A41C78" w:rsidRDefault="00A41C78" w:rsidP="00A41C78">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tc>
      </w:tr>
      <w:tr w:rsidR="00A41C78" w:rsidRPr="00A41C78" w:rsidTr="00693E57">
        <w:trPr>
          <w:trHeight w:val="668"/>
        </w:trPr>
        <w:tc>
          <w:tcPr>
            <w:tcW w:w="8887" w:type="dxa"/>
            <w:gridSpan w:val="3"/>
          </w:tcPr>
          <w:p w:rsidR="00A41C78" w:rsidRPr="00A41C78" w:rsidRDefault="00A41C78" w:rsidP="00A41C78">
            <w:pPr>
              <w:tabs>
                <w:tab w:val="clear" w:pos="709"/>
                <w:tab w:val="left" w:pos="9354"/>
              </w:tabs>
              <w:suppressAutoHyphens w:val="0"/>
              <w:spacing w:after="0" w:line="360" w:lineRule="auto"/>
              <w:ind w:firstLine="0"/>
              <w:rPr>
                <w:rFonts w:ascii="Times New Roman" w:eastAsia="Times New Roman" w:hAnsi="Times New Roman" w:cs="Times New Roman"/>
                <w:b/>
                <w:kern w:val="0"/>
                <w:sz w:val="28"/>
                <w:szCs w:val="28"/>
                <w:lang w:eastAsia="uk-UA"/>
              </w:rPr>
            </w:pPr>
          </w:p>
          <w:p w:rsidR="00A41C78" w:rsidRPr="00A41C78" w:rsidRDefault="00A41C78" w:rsidP="00A41C78">
            <w:pPr>
              <w:tabs>
                <w:tab w:val="clear" w:pos="709"/>
                <w:tab w:val="left" w:pos="9354"/>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 xml:space="preserve">РОЗДІЛ 3. ОСВІТНЬО-ПРОСВІТНИЦЬКА ДІЯЛЬНІСТЬ ІНОЗЕМНИХ ПЕДАГОГІВ У КРЕМЕНЕЦЬКОМУ ЛІЦЕЇ </w:t>
            </w:r>
            <w:r w:rsidRPr="00A41C78">
              <w:rPr>
                <w:rFonts w:ascii="Times New Roman" w:eastAsia="Times New Roman" w:hAnsi="Times New Roman" w:cs="Times New Roman"/>
                <w:kern w:val="0"/>
                <w:sz w:val="28"/>
                <w:szCs w:val="28"/>
                <w:lang w:eastAsia="uk-UA"/>
              </w:rPr>
              <w:t>…</w:t>
            </w:r>
            <w:r w:rsidRPr="00A41C78">
              <w:rPr>
                <w:rFonts w:ascii="Times New Roman" w:eastAsia="Times New Roman" w:hAnsi="Times New Roman" w:cs="Times New Roman"/>
                <w:kern w:val="0"/>
                <w:sz w:val="28"/>
                <w:szCs w:val="28"/>
                <w:lang w:val="uk-UA" w:eastAsia="uk-UA"/>
              </w:rPr>
              <w:t>......130</w:t>
            </w:r>
          </w:p>
        </w:tc>
        <w:tc>
          <w:tcPr>
            <w:tcW w:w="0" w:type="auto"/>
            <w:vMerge/>
            <w:vAlign w:val="center"/>
          </w:tcPr>
          <w:p w:rsidR="00A41C78" w:rsidRPr="00A41C78" w:rsidRDefault="00A41C78" w:rsidP="00A41C78">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tc>
      </w:tr>
      <w:tr w:rsidR="00A41C78" w:rsidRPr="00A41C78" w:rsidTr="00693E57">
        <w:trPr>
          <w:trHeight w:val="2460"/>
        </w:trPr>
        <w:tc>
          <w:tcPr>
            <w:tcW w:w="1327" w:type="dxa"/>
          </w:tcPr>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3.1.</w:t>
            </w: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3.2.</w:t>
            </w: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A41C78" w:rsidRPr="00A41C78" w:rsidRDefault="00A41C78" w:rsidP="00A41C78">
            <w:pPr>
              <w:tabs>
                <w:tab w:val="clear" w:pos="709"/>
                <w:tab w:val="left" w:pos="9354"/>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3.3.</w:t>
            </w:r>
          </w:p>
          <w:p w:rsidR="00A41C78" w:rsidRPr="00A41C78" w:rsidRDefault="00A41C78" w:rsidP="00A41C78">
            <w:pPr>
              <w:tabs>
                <w:tab w:val="clear" w:pos="709"/>
                <w:tab w:val="left" w:pos="9354"/>
              </w:tabs>
              <w:suppressAutoHyphens w:val="0"/>
              <w:spacing w:after="0" w:line="360" w:lineRule="auto"/>
              <w:ind w:firstLine="0"/>
              <w:rPr>
                <w:rFonts w:ascii="Times New Roman" w:eastAsia="Times New Roman" w:hAnsi="Times New Roman" w:cs="Times New Roman"/>
                <w:kern w:val="0"/>
                <w:sz w:val="28"/>
                <w:szCs w:val="28"/>
                <w:lang w:val="uk-UA" w:eastAsia="uk-UA"/>
              </w:rPr>
            </w:pPr>
          </w:p>
        </w:tc>
        <w:tc>
          <w:tcPr>
            <w:tcW w:w="7560" w:type="dxa"/>
            <w:gridSpan w:val="2"/>
          </w:tcPr>
          <w:p w:rsidR="00A41C78" w:rsidRPr="00A41C78" w:rsidRDefault="00A41C78" w:rsidP="00A41C78">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Освітньо-просвітницька діяльність педагогів природничо-математичних наук у Кременецькому …………………….130</w:t>
            </w:r>
          </w:p>
          <w:p w:rsidR="00A41C78" w:rsidRPr="00A41C78" w:rsidRDefault="00A41C78" w:rsidP="00A41C78">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Діяльність іноземних викладачів гуманітарних дисциплін у Кременецькому ліцеї в першій половині ХІХ століття …..155</w:t>
            </w:r>
          </w:p>
          <w:p w:rsidR="00A41C78" w:rsidRPr="00A41C78" w:rsidRDefault="00A41C78" w:rsidP="00A41C78">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Іноземні педагоги серед викладачів музично-естетичних дисциплін Кременецького ліцею …………………………165</w:t>
            </w:r>
          </w:p>
          <w:p w:rsidR="00A41C78" w:rsidRPr="00A41C78" w:rsidRDefault="00A41C78" w:rsidP="00A41C78">
            <w:pPr>
              <w:tabs>
                <w:tab w:val="clear" w:pos="709"/>
                <w:tab w:val="left" w:pos="9354"/>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 xml:space="preserve">Висновки до розділу 3 </w:t>
            </w:r>
            <w:r w:rsidRPr="00A41C78">
              <w:rPr>
                <w:rFonts w:ascii="Times New Roman" w:eastAsia="Times New Roman" w:hAnsi="Times New Roman" w:cs="Times New Roman"/>
                <w:kern w:val="0"/>
                <w:sz w:val="28"/>
                <w:szCs w:val="28"/>
                <w:lang w:val="uk-UA" w:eastAsia="uk-UA"/>
              </w:rPr>
              <w:t>…………………………………….175</w:t>
            </w:r>
          </w:p>
          <w:p w:rsidR="00A41C78" w:rsidRPr="00A41C78" w:rsidRDefault="00A41C78" w:rsidP="00A41C78">
            <w:pPr>
              <w:tabs>
                <w:tab w:val="clear" w:pos="709"/>
                <w:tab w:val="left" w:pos="9354"/>
              </w:tabs>
              <w:suppressAutoHyphens w:val="0"/>
              <w:spacing w:after="0" w:line="360" w:lineRule="auto"/>
              <w:ind w:firstLine="0"/>
              <w:rPr>
                <w:rFonts w:ascii="Times New Roman" w:eastAsia="Times New Roman" w:hAnsi="Times New Roman" w:cs="Times New Roman"/>
                <w:caps/>
                <w:kern w:val="0"/>
                <w:sz w:val="28"/>
                <w:szCs w:val="28"/>
                <w:lang w:val="uk-UA" w:eastAsia="uk-UA"/>
              </w:rPr>
            </w:pPr>
            <w:r w:rsidRPr="00A41C78">
              <w:rPr>
                <w:rFonts w:ascii="Times New Roman" w:eastAsia="Times New Roman" w:hAnsi="Times New Roman" w:cs="Times New Roman"/>
                <w:b/>
                <w:caps/>
                <w:kern w:val="0"/>
                <w:sz w:val="28"/>
                <w:szCs w:val="28"/>
                <w:lang w:val="uk-UA" w:eastAsia="uk-UA"/>
              </w:rPr>
              <w:t xml:space="preserve">Висновки </w:t>
            </w:r>
            <w:r w:rsidRPr="00A41C78">
              <w:rPr>
                <w:rFonts w:ascii="Times New Roman" w:eastAsia="Times New Roman" w:hAnsi="Times New Roman" w:cs="Times New Roman"/>
                <w:caps/>
                <w:kern w:val="0"/>
                <w:sz w:val="28"/>
                <w:szCs w:val="28"/>
                <w:lang w:val="uk-UA" w:eastAsia="uk-UA"/>
              </w:rPr>
              <w:t>………………………………………………..177</w:t>
            </w:r>
          </w:p>
          <w:p w:rsidR="00A41C78" w:rsidRPr="00A41C78" w:rsidRDefault="00A41C78" w:rsidP="00A41C78">
            <w:pPr>
              <w:tabs>
                <w:tab w:val="clear" w:pos="709"/>
                <w:tab w:val="left" w:pos="9354"/>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caps/>
                <w:kern w:val="0"/>
                <w:sz w:val="28"/>
                <w:szCs w:val="28"/>
                <w:lang w:val="uk-UA" w:eastAsia="uk-UA"/>
              </w:rPr>
              <w:t xml:space="preserve">Додатки </w:t>
            </w:r>
            <w:r w:rsidRPr="00A41C78">
              <w:rPr>
                <w:rFonts w:ascii="Times New Roman" w:eastAsia="Times New Roman" w:hAnsi="Times New Roman" w:cs="Times New Roman"/>
                <w:caps/>
                <w:kern w:val="0"/>
                <w:sz w:val="28"/>
                <w:szCs w:val="28"/>
                <w:lang w:val="uk-UA" w:eastAsia="uk-UA"/>
              </w:rPr>
              <w:t>………………………………………………….181</w:t>
            </w:r>
          </w:p>
          <w:p w:rsidR="00A41C78" w:rsidRPr="00A41C78" w:rsidRDefault="00A41C78" w:rsidP="00A41C78">
            <w:pPr>
              <w:tabs>
                <w:tab w:val="clear" w:pos="709"/>
                <w:tab w:val="left" w:pos="9354"/>
              </w:tabs>
              <w:suppressAutoHyphens w:val="0"/>
              <w:spacing w:after="0" w:line="360" w:lineRule="auto"/>
              <w:ind w:firstLine="0"/>
              <w:rPr>
                <w:rFonts w:ascii="Times New Roman" w:eastAsia="Times New Roman" w:hAnsi="Times New Roman" w:cs="Times New Roman"/>
                <w:b/>
                <w:kern w:val="0"/>
                <w:sz w:val="28"/>
                <w:szCs w:val="28"/>
                <w:lang w:val="uk-UA" w:eastAsia="uk-UA"/>
              </w:rPr>
            </w:pPr>
            <w:r w:rsidRPr="00A41C78">
              <w:rPr>
                <w:rFonts w:ascii="Times New Roman" w:eastAsia="Times New Roman" w:hAnsi="Times New Roman" w:cs="Times New Roman"/>
                <w:b/>
                <w:bCs/>
                <w:kern w:val="0"/>
                <w:sz w:val="28"/>
                <w:szCs w:val="24"/>
                <w:lang w:val="uk-UA" w:eastAsia="uk-UA"/>
              </w:rPr>
              <w:t xml:space="preserve">СПИСОК ВИКОРИСТАНИХ ДЖЕРЕЛ </w:t>
            </w:r>
            <w:r w:rsidRPr="00A41C78">
              <w:rPr>
                <w:rFonts w:ascii="Times New Roman" w:eastAsia="Times New Roman" w:hAnsi="Times New Roman" w:cs="Times New Roman"/>
                <w:bCs/>
                <w:kern w:val="0"/>
                <w:sz w:val="28"/>
                <w:szCs w:val="24"/>
                <w:lang w:val="uk-UA" w:eastAsia="uk-UA"/>
              </w:rPr>
              <w:t>…………….…266</w:t>
            </w:r>
          </w:p>
        </w:tc>
        <w:tc>
          <w:tcPr>
            <w:tcW w:w="0" w:type="auto"/>
            <w:vMerge/>
            <w:vAlign w:val="center"/>
          </w:tcPr>
          <w:p w:rsidR="00A41C78" w:rsidRPr="00A41C78" w:rsidRDefault="00A41C78" w:rsidP="00A41C78">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tc>
      </w:tr>
    </w:tbl>
    <w:p w:rsidR="00A41C78" w:rsidRPr="00A41C78" w:rsidRDefault="00A41C78" w:rsidP="00A41C78">
      <w:pPr>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uk-UA"/>
        </w:rPr>
      </w:pPr>
    </w:p>
    <w:p w:rsidR="00A41C78" w:rsidRPr="00A41C78" w:rsidRDefault="00A41C78" w:rsidP="00A41C78">
      <w:pPr>
        <w:tabs>
          <w:tab w:val="clear" w:pos="709"/>
        </w:tabs>
        <w:suppressAutoHyphens w:val="0"/>
        <w:spacing w:after="0" w:line="360" w:lineRule="auto"/>
        <w:ind w:firstLine="709"/>
        <w:jc w:val="center"/>
        <w:rPr>
          <w:rFonts w:ascii="Times New Roman" w:eastAsia="Times New Roman" w:hAnsi="Times New Roman" w:cs="Times New Roman"/>
          <w:b/>
          <w:caps/>
          <w:kern w:val="0"/>
          <w:sz w:val="28"/>
          <w:szCs w:val="28"/>
          <w:lang w:val="uk-UA" w:eastAsia="uk-UA"/>
        </w:rPr>
      </w:pPr>
    </w:p>
    <w:p w:rsidR="00A41C78" w:rsidRPr="00A41C78" w:rsidRDefault="00A41C78" w:rsidP="00A41C78">
      <w:pPr>
        <w:tabs>
          <w:tab w:val="clear" w:pos="709"/>
        </w:tabs>
        <w:suppressAutoHyphens w:val="0"/>
        <w:spacing w:after="0" w:line="360" w:lineRule="auto"/>
        <w:ind w:firstLine="709"/>
        <w:jc w:val="center"/>
        <w:rPr>
          <w:rFonts w:ascii="Times New Roman" w:eastAsia="Times New Roman" w:hAnsi="Times New Roman" w:cs="Times New Roman"/>
          <w:b/>
          <w:caps/>
          <w:kern w:val="0"/>
          <w:sz w:val="28"/>
          <w:szCs w:val="28"/>
          <w:lang w:val="uk-UA" w:eastAsia="uk-UA"/>
        </w:rPr>
      </w:pPr>
      <w:r w:rsidRPr="00A41C78">
        <w:rPr>
          <w:rFonts w:ascii="Times New Roman" w:eastAsia="Times New Roman" w:hAnsi="Times New Roman" w:cs="Times New Roman"/>
          <w:b/>
          <w:caps/>
          <w:kern w:val="0"/>
          <w:sz w:val="28"/>
          <w:szCs w:val="28"/>
          <w:lang w:val="uk-UA" w:eastAsia="uk-UA"/>
        </w:rPr>
        <w:br w:type="page"/>
        <w:t>ВСТУП</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Актуальність та доцільність дослідження.</w:t>
      </w:r>
      <w:r w:rsidRPr="00A41C78">
        <w:rPr>
          <w:rFonts w:ascii="Times New Roman" w:eastAsia="Times New Roman" w:hAnsi="Times New Roman" w:cs="Times New Roman"/>
          <w:kern w:val="0"/>
          <w:sz w:val="28"/>
          <w:szCs w:val="28"/>
          <w:lang w:val="uk-UA" w:eastAsia="uk-UA"/>
        </w:rPr>
        <w:t xml:space="preserve"> На початку 90-х років ХХ</w:t>
      </w:r>
      <w:r w:rsidRPr="00A41C78">
        <w:rPr>
          <w:rFonts w:ascii="Times New Roman" w:eastAsia="Times New Roman" w:hAnsi="Times New Roman" w:cs="Times New Roman"/>
          <w:kern w:val="0"/>
          <w:sz w:val="28"/>
          <w:szCs w:val="28"/>
          <w:lang w:val="en-US" w:eastAsia="uk-UA"/>
        </w:rPr>
        <w:t> </w:t>
      </w:r>
      <w:r w:rsidRPr="00A41C78">
        <w:rPr>
          <w:rFonts w:ascii="Times New Roman" w:eastAsia="Times New Roman" w:hAnsi="Times New Roman" w:cs="Times New Roman"/>
          <w:kern w:val="0"/>
          <w:sz w:val="28"/>
          <w:szCs w:val="28"/>
          <w:lang w:val="uk-UA" w:eastAsia="uk-UA"/>
        </w:rPr>
        <w:t>століття незалежна багатонаціональна Україна стала на шлях демократичних перетворень, що, у свою чергу, зумовило необхідність вивчення маловідомих сторінок нашої історії. У «Національній доктрині розвитку освіти України у ХХІ столітті», «Концепції виховання дітей та молоді в національній системі освіти» та інших урядових й освітніх документах наголошується на необхідності цілісного дослідження проблем, які є актуальними у сфері педагогічної науки у зв’язку з історично зумовленим утвердженням національної системи освіти.</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Ураховуючи, що Україна приєдналася до Болонського процесу, особливого значення набуває можливість вивчення історико-педагогічного досвіду розвитку освіти на Волині, одного з перших регіонів, який мав змогу запозичити зарубіжний досвід організації освітнього процесу в ХІХ – на початку ХХ століття.</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Окреслення досліджуваної проблеми визначає персоніфікований і регіональний підходи до її наукового аналізу, зумовленого тим, що:</w:t>
      </w:r>
    </w:p>
    <w:p w:rsidR="00A41C78" w:rsidRPr="00A41C78" w:rsidRDefault="00A41C78" w:rsidP="00A41C78">
      <w:pPr>
        <w:widowControl/>
        <w:numPr>
          <w:ilvl w:val="0"/>
          <w:numId w:val="20"/>
        </w:numPr>
        <w:tabs>
          <w:tab w:val="clear" w:pos="709"/>
        </w:tabs>
        <w:suppressAutoHyphens w:val="0"/>
        <w:autoSpaceDN w:val="0"/>
        <w:spacing w:after="0" w:line="360" w:lineRule="auto"/>
        <w:ind w:firstLine="709"/>
        <w:jc w:val="left"/>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історія діяльності іноземних педагогів на Волині (ХІХ – поч. ХХ ст.) є невід'ємною частиною історії шкільництва не лише для української громади, а й інших етнонаціональних меншин у поліетнічних спільнотах, з одного боку, та історії просвітництва України – з іншого;</w:t>
      </w:r>
    </w:p>
    <w:p w:rsidR="00A41C78" w:rsidRPr="00A41C78" w:rsidRDefault="00A41C78" w:rsidP="00A41C78">
      <w:pPr>
        <w:widowControl/>
        <w:numPr>
          <w:ilvl w:val="0"/>
          <w:numId w:val="20"/>
        </w:numPr>
        <w:tabs>
          <w:tab w:val="clear" w:pos="709"/>
        </w:tabs>
        <w:suppressAutoHyphens w:val="0"/>
        <w:autoSpaceDN w:val="0"/>
        <w:spacing w:after="0" w:line="360" w:lineRule="auto"/>
        <w:ind w:firstLine="709"/>
        <w:jc w:val="left"/>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у певні періоди історичного шляху країни освітньо-просвітницька діяльність іноземних педагогів на Волині потребувала прогресивних форм та методів впливу на загальний розвиток освіти дітей, молоді й дорослих краю;</w:t>
      </w:r>
    </w:p>
    <w:p w:rsidR="00A41C78" w:rsidRPr="00A41C78" w:rsidRDefault="00A41C78" w:rsidP="00A41C78">
      <w:pPr>
        <w:widowControl/>
        <w:numPr>
          <w:ilvl w:val="0"/>
          <w:numId w:val="20"/>
        </w:numPr>
        <w:tabs>
          <w:tab w:val="clear" w:pos="709"/>
        </w:tabs>
        <w:suppressAutoHyphens w:val="0"/>
        <w:autoSpaceDN w:val="0"/>
        <w:spacing w:after="0" w:line="360" w:lineRule="auto"/>
        <w:ind w:firstLine="709"/>
        <w:jc w:val="left"/>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освітньо-просвітницька діяльність іноземних педагогів на Волині відображала соціокультурні, економічні, міжетнічні особливості життя місцевого населення, поліетнічних меншин;</w:t>
      </w:r>
    </w:p>
    <w:p w:rsidR="00A41C78" w:rsidRPr="00A41C78" w:rsidRDefault="00A41C78" w:rsidP="00A41C78">
      <w:pPr>
        <w:widowControl/>
        <w:numPr>
          <w:ilvl w:val="0"/>
          <w:numId w:val="20"/>
        </w:numPr>
        <w:tabs>
          <w:tab w:val="clear" w:pos="709"/>
        </w:tabs>
        <w:suppressAutoHyphens w:val="0"/>
        <w:autoSpaceDN w:val="0"/>
        <w:spacing w:after="0" w:line="360" w:lineRule="auto"/>
        <w:ind w:firstLine="709"/>
        <w:jc w:val="left"/>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освітньо-просвітницька діяльність іноземних педагогів у регіоні здійснювалася на фоні загального контексту цивілізаційних процесів в Україні.</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Mangal"/>
          <w:iCs/>
          <w:kern w:val="0"/>
          <w:sz w:val="28"/>
          <w:szCs w:val="28"/>
          <w:lang w:val="uk-UA" w:eastAsia="uk-UA" w:bidi="sa-IN"/>
        </w:rPr>
      </w:pPr>
      <w:r w:rsidRPr="00A41C78">
        <w:rPr>
          <w:rFonts w:ascii="Times New Roman" w:eastAsia="Times New Roman" w:hAnsi="Times New Roman" w:cs="Mangal"/>
          <w:kern w:val="0"/>
          <w:sz w:val="28"/>
          <w:szCs w:val="28"/>
          <w:lang w:val="uk-UA" w:eastAsia="uk-UA" w:bidi="sa-IN"/>
        </w:rPr>
        <w:t>Зазначена проблема не була предметом системного аналізу, в якому виокремлюються як педагогічний, так й історико-педагогічний аспекти.</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 xml:space="preserve">Її </w:t>
      </w:r>
      <w:r w:rsidRPr="00A41C78">
        <w:rPr>
          <w:rFonts w:ascii="Times New Roman" w:eastAsia="Times New Roman" w:hAnsi="Times New Roman" w:cs="Times New Roman"/>
          <w:i/>
          <w:kern w:val="0"/>
          <w:sz w:val="28"/>
          <w:szCs w:val="28"/>
          <w:lang w:val="uk-UA" w:eastAsia="uk-UA"/>
        </w:rPr>
        <w:t>педагогічний аспект</w:t>
      </w:r>
      <w:r w:rsidRPr="00A41C78">
        <w:rPr>
          <w:rFonts w:ascii="Times New Roman" w:eastAsia="Times New Roman" w:hAnsi="Times New Roman" w:cs="Times New Roman"/>
          <w:kern w:val="0"/>
          <w:sz w:val="28"/>
          <w:szCs w:val="28"/>
          <w:lang w:val="uk-UA" w:eastAsia="uk-UA"/>
        </w:rPr>
        <w:t xml:space="preserve"> визначається можливістю аналізу змісту, форм і методів навчання, які застосовувалися іноземними педагогами у навчальних закладах, домашніх умовах на Волині у ХІХ – на початку ХХ століття; необхідністю співставлення загальнодержавного та національного компонентів освіти.</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i/>
          <w:kern w:val="0"/>
          <w:sz w:val="28"/>
          <w:szCs w:val="28"/>
          <w:lang w:val="uk-UA" w:eastAsia="uk-UA"/>
        </w:rPr>
        <w:t>Історико-педагогічний аспект</w:t>
      </w:r>
      <w:r w:rsidRPr="00A41C78">
        <w:rPr>
          <w:rFonts w:ascii="Times New Roman" w:eastAsia="Times New Roman" w:hAnsi="Times New Roman" w:cs="Times New Roman"/>
          <w:kern w:val="0"/>
          <w:sz w:val="28"/>
          <w:szCs w:val="28"/>
          <w:lang w:val="uk-UA" w:eastAsia="uk-UA"/>
        </w:rPr>
        <w:t xml:space="preserve"> зумовлений необхідністю формування об’єктивного уявлення про історичні шляхи розвитку наукової й практично педагогічної діяльності іноземних педагогів як предмета вивчення педагогічної науки.</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Перші наукові дослідження з розвитку освіти Волині з’явилися у другій половині ХІХ століття. Зокрема, такі вчені як М. Барсов, К. Левицький, Н. Мукалов, М. Теодорович та інші висвітлювали окремі аспекти розвитку освіти, просвітницької діяльності духовенства, історії становлення навчальних закладів краю тощо.</w:t>
      </w:r>
    </w:p>
    <w:p w:rsidR="00A41C78" w:rsidRPr="00A41C78" w:rsidRDefault="00A41C78" w:rsidP="00A41C78">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Окремо загальний розвиток освіти на Волині розглядається у наукових доробках сучасних дослідників, серед яких: Л. Березівська, Н. Бовсунівська, О. Борейко, С. Бричок, А. Вихрущ, І. Гавриш, О. Дубасенюк, Т. Джаман, М. Євтух, Л. Єршова, С. Жилюк, О. Іващенко, С. Коляденко, О. Костюк, І. Круковська, М. Левківський, В. Омельчук, Ю. Поліщук, Н. Рудницька, П. Саух, Н. Сейко, О. Сухомлинська, Б. Ступарик та ін. Деякі аспекти зазначеної проблеми знайшли відображення у працях волинських краєзнавців О. Буравського, Г. Бухало, В. Єршова, М. Костриці, Г. Мокрицького, Л. Монастирецького, О. Пультера, Г. Черняхівського, І. Ярмошика та ін.</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b/>
          <w:i/>
          <w:kern w:val="0"/>
          <w:sz w:val="28"/>
          <w:szCs w:val="28"/>
          <w:lang w:val="uk-UA" w:eastAsia="uk-UA"/>
        </w:rPr>
      </w:pPr>
      <w:r w:rsidRPr="00A41C78">
        <w:rPr>
          <w:rFonts w:ascii="Times New Roman" w:eastAsia="Times New Roman" w:hAnsi="Times New Roman" w:cs="Times New Roman"/>
          <w:kern w:val="0"/>
          <w:sz w:val="28"/>
          <w:szCs w:val="28"/>
          <w:lang w:val="uk-UA" w:eastAsia="uk-UA"/>
        </w:rPr>
        <w:t xml:space="preserve">Проте діяльність іноземних педагогів у працях науковців висвітлена лише фрагментарно. Отже, актуальність і недостатня вивченість проблеми зумовили вибір теми дисертаційного дослідження: </w:t>
      </w:r>
      <w:r w:rsidRPr="00A41C78">
        <w:rPr>
          <w:rFonts w:ascii="Times New Roman" w:eastAsia="Times New Roman" w:hAnsi="Times New Roman" w:cs="Times New Roman"/>
          <w:b/>
          <w:kern w:val="0"/>
          <w:sz w:val="28"/>
          <w:szCs w:val="28"/>
          <w:lang w:val="uk-UA" w:eastAsia="uk-UA"/>
        </w:rPr>
        <w:t>«Освітньо-просвітницька діяльність іноземних педагогів на Волині (ХІХ – початок ХХ ст.)».</w:t>
      </w:r>
    </w:p>
    <w:p w:rsidR="00A41C78" w:rsidRPr="00A41C78" w:rsidRDefault="00A41C78" w:rsidP="00A41C78">
      <w:pPr>
        <w:tabs>
          <w:tab w:val="clear" w:pos="709"/>
          <w:tab w:val="left" w:pos="8647"/>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Зв’язок роботи з науковими програмами, планами, темами.</w:t>
      </w:r>
      <w:r w:rsidRPr="00A41C78">
        <w:rPr>
          <w:rFonts w:ascii="Times New Roman" w:eastAsia="Times New Roman" w:hAnsi="Times New Roman" w:cs="Times New Roman"/>
          <w:kern w:val="0"/>
          <w:sz w:val="28"/>
          <w:szCs w:val="28"/>
          <w:lang w:val="uk-UA" w:eastAsia="uk-UA"/>
        </w:rPr>
        <w:t xml:space="preserve"> Дисертаційне дослідження виконувалося у межах комплексної науково-дослідної теми кафедри педагогіки Житомирського державного університету імені Івана Франка «Формування професійної майстерності вчителів в умовах Європейської інтеграції» (РК № 0106</w:t>
      </w:r>
      <w:r w:rsidRPr="00A41C78">
        <w:rPr>
          <w:rFonts w:ascii="Times New Roman" w:eastAsia="Times New Roman" w:hAnsi="Times New Roman" w:cs="Times New Roman"/>
          <w:kern w:val="0"/>
          <w:sz w:val="28"/>
          <w:szCs w:val="28"/>
          <w:lang w:val="en-US" w:eastAsia="uk-UA"/>
        </w:rPr>
        <w:t>V</w:t>
      </w:r>
      <w:r w:rsidRPr="00A41C78">
        <w:rPr>
          <w:rFonts w:ascii="Times New Roman" w:eastAsia="Times New Roman" w:hAnsi="Times New Roman" w:cs="Times New Roman"/>
          <w:kern w:val="0"/>
          <w:sz w:val="28"/>
          <w:szCs w:val="28"/>
          <w:lang w:val="uk-UA" w:eastAsia="uk-UA"/>
        </w:rPr>
        <w:t>005409). Тему дисертаційного дослідження затверджено вченою радою Житомирського державного університету імені Івана Франка (протокол № 1 від 12. 09. 2005 р.) та узгоджено в Раді з координації наукових досліджень у галузі педагогіки і психології АПН України (протокол № 10 від 20. 12. 2005 р.).</w:t>
      </w:r>
    </w:p>
    <w:p w:rsidR="00A41C78" w:rsidRPr="00A41C78" w:rsidRDefault="00A41C78" w:rsidP="00A41C78">
      <w:pPr>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Мета дослідження</w:t>
      </w:r>
      <w:r w:rsidRPr="00A41C78">
        <w:rPr>
          <w:rFonts w:ascii="Times New Roman" w:eastAsia="Times New Roman" w:hAnsi="Times New Roman" w:cs="Times New Roman"/>
          <w:kern w:val="0"/>
          <w:sz w:val="28"/>
          <w:szCs w:val="28"/>
          <w:lang w:val="uk-UA" w:eastAsia="uk-UA"/>
        </w:rPr>
        <w:t xml:space="preserve"> – виявити передумови, основні компоненти освітньо-просвітницької діяльності іноземних педагогів на Волині (ХІХ – початок ХХ століття).</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 xml:space="preserve">Відповідно до мети були поставлені такі </w:t>
      </w:r>
      <w:r w:rsidRPr="00A41C78">
        <w:rPr>
          <w:rFonts w:ascii="Times New Roman" w:eastAsia="Times New Roman" w:hAnsi="Times New Roman" w:cs="Times New Roman"/>
          <w:b/>
          <w:kern w:val="0"/>
          <w:sz w:val="28"/>
          <w:szCs w:val="28"/>
          <w:lang w:val="uk-UA" w:eastAsia="uk-UA"/>
        </w:rPr>
        <w:t>завдання</w:t>
      </w:r>
      <w:r w:rsidRPr="00A41C78">
        <w:rPr>
          <w:rFonts w:ascii="Times New Roman" w:eastAsia="Times New Roman" w:hAnsi="Times New Roman" w:cs="Times New Roman"/>
          <w:kern w:val="0"/>
          <w:sz w:val="28"/>
          <w:szCs w:val="28"/>
          <w:lang w:val="uk-UA" w:eastAsia="uk-UA"/>
        </w:rPr>
        <w:t>:</w:t>
      </w:r>
    </w:p>
    <w:p w:rsidR="00A41C78" w:rsidRPr="00A41C78" w:rsidRDefault="00A41C78" w:rsidP="00A41C78">
      <w:pPr>
        <w:widowControl/>
        <w:numPr>
          <w:ilvl w:val="0"/>
          <w:numId w:val="21"/>
        </w:num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Здійснити історіографічний аналіз та визначити основні наукові підходи до поставленої проблеми.</w:t>
      </w:r>
    </w:p>
    <w:p w:rsidR="00A41C78" w:rsidRPr="00A41C78" w:rsidRDefault="00A41C78" w:rsidP="00A41C78">
      <w:pPr>
        <w:widowControl/>
        <w:numPr>
          <w:ilvl w:val="0"/>
          <w:numId w:val="21"/>
        </w:num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Визначити історичні, соціально-політичні, соціально-економічні та соціокультурні передумови діяльності іноземних педагогів на Волині.</w:t>
      </w:r>
    </w:p>
    <w:p w:rsidR="00A41C78" w:rsidRPr="00A41C78" w:rsidRDefault="00A41C78" w:rsidP="00A41C78">
      <w:pPr>
        <w:widowControl/>
        <w:numPr>
          <w:ilvl w:val="0"/>
          <w:numId w:val="21"/>
        </w:num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Виявити основні суперечності, визначити тенденції та виділити етапи розвитку освітньо-просвітницької діяльності іноземних педагогів.</w:t>
      </w:r>
    </w:p>
    <w:p w:rsidR="00A41C78" w:rsidRPr="00A41C78" w:rsidRDefault="00A41C78" w:rsidP="00A41C78">
      <w:pPr>
        <w:widowControl/>
        <w:numPr>
          <w:ilvl w:val="0"/>
          <w:numId w:val="21"/>
        </w:num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Охарактеризувати зміст та форми освітньо-просвітницької діяльності іноземних педагогів.</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Об’єкт дослідження –</w:t>
      </w:r>
      <w:r w:rsidRPr="00A41C78">
        <w:rPr>
          <w:rFonts w:ascii="Times New Roman" w:eastAsia="Times New Roman" w:hAnsi="Times New Roman" w:cs="Times New Roman"/>
          <w:kern w:val="0"/>
          <w:sz w:val="28"/>
          <w:szCs w:val="28"/>
          <w:lang w:val="uk-UA" w:eastAsia="uk-UA"/>
        </w:rPr>
        <w:t xml:space="preserve"> розвиток освіти на Волині у ХІХ – на початку ХХ століття.</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Предмет дослідження –</w:t>
      </w:r>
      <w:r w:rsidRPr="00A41C78">
        <w:rPr>
          <w:rFonts w:ascii="Times New Roman" w:eastAsia="Times New Roman" w:hAnsi="Times New Roman" w:cs="Times New Roman"/>
          <w:kern w:val="0"/>
          <w:sz w:val="28"/>
          <w:szCs w:val="28"/>
          <w:lang w:val="uk-UA" w:eastAsia="uk-UA"/>
        </w:rPr>
        <w:t xml:space="preserve"> зміст, етапи та тенденції освітньо-просвітницької діяльності іноземних педагогів на Волині у ХІХ – на початку ХХ століття.</w:t>
      </w:r>
    </w:p>
    <w:p w:rsidR="00A41C78" w:rsidRPr="00A41C78" w:rsidRDefault="00A41C78" w:rsidP="00A41C78">
      <w:pPr>
        <w:tabs>
          <w:tab w:val="clear" w:pos="709"/>
          <w:tab w:val="left" w:pos="8647"/>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bCs/>
          <w:kern w:val="0"/>
          <w:sz w:val="28"/>
          <w:szCs w:val="28"/>
          <w:lang w:val="uk-UA" w:eastAsia="uk-UA"/>
        </w:rPr>
        <w:t xml:space="preserve">Теоретико-методологічною основою дослідження </w:t>
      </w:r>
      <w:r w:rsidRPr="00A41C78">
        <w:rPr>
          <w:rFonts w:ascii="Times New Roman" w:eastAsia="Times New Roman" w:hAnsi="Times New Roman" w:cs="Times New Roman"/>
          <w:kern w:val="0"/>
          <w:sz w:val="28"/>
          <w:szCs w:val="28"/>
          <w:lang w:val="uk-UA" w:eastAsia="uk-UA"/>
        </w:rPr>
        <w:t>є положення про зв’язок історії із сьогоденням, доцільність творчого використання історичної спадщини у розвитку сучасної системи освіти. Дослідження ґрунтується на принципах науковості, цілісності, об’єктивності, соціальної зумовленості, культуровiдповiдностi, взаємозв’язку та взаємодії об’єктивного i суб’єктивного, традиційного та інноваційного, національного і загальнолюдського. У процесі історико-педагогічного аналізу застосовувались хронологічний, проблемно-тематичний, персоніфікований, джерелознавчий, системний підходи та історико-педагогічний регіоналізм.</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 xml:space="preserve">За </w:t>
      </w:r>
      <w:r w:rsidRPr="00A41C78">
        <w:rPr>
          <w:rFonts w:ascii="Times New Roman" w:eastAsia="Times New Roman" w:hAnsi="Times New Roman" w:cs="Times New Roman"/>
          <w:i/>
          <w:kern w:val="0"/>
          <w:sz w:val="28"/>
          <w:szCs w:val="28"/>
          <w:lang w:val="uk-UA" w:eastAsia="uk-UA"/>
        </w:rPr>
        <w:t>хронологічним підходом</w:t>
      </w:r>
      <w:r w:rsidRPr="00A41C78">
        <w:rPr>
          <w:rFonts w:ascii="Times New Roman" w:eastAsia="Times New Roman" w:hAnsi="Times New Roman" w:cs="Times New Roman"/>
          <w:kern w:val="0"/>
          <w:sz w:val="28"/>
          <w:szCs w:val="28"/>
          <w:lang w:val="uk-UA" w:eastAsia="uk-UA"/>
        </w:rPr>
        <w:t xml:space="preserve"> здійснено аналіз архівних та літературних джерел, визначені </w:t>
      </w:r>
      <w:r w:rsidRPr="00A41C78">
        <w:rPr>
          <w:rFonts w:ascii="Times New Roman" w:eastAsia="Times New Roman" w:hAnsi="Times New Roman" w:cs="Times New Roman"/>
          <w:i/>
          <w:kern w:val="0"/>
          <w:sz w:val="28"/>
          <w:szCs w:val="28"/>
          <w:lang w:val="uk-UA" w:eastAsia="uk-UA"/>
        </w:rPr>
        <w:t>етапи</w:t>
      </w:r>
      <w:r w:rsidRPr="00A41C78">
        <w:rPr>
          <w:rFonts w:ascii="Times New Roman" w:eastAsia="Times New Roman" w:hAnsi="Times New Roman" w:cs="Times New Roman"/>
          <w:kern w:val="0"/>
          <w:sz w:val="28"/>
          <w:szCs w:val="28"/>
          <w:lang w:val="uk-UA" w:eastAsia="uk-UA"/>
        </w:rPr>
        <w:t xml:space="preserve"> розвитку наукових досліджень. </w:t>
      </w:r>
      <w:r w:rsidRPr="00A41C78">
        <w:rPr>
          <w:rFonts w:ascii="Times New Roman" w:eastAsia="Times New Roman" w:hAnsi="Times New Roman" w:cs="Times New Roman"/>
          <w:i/>
          <w:kern w:val="0"/>
          <w:sz w:val="28"/>
          <w:szCs w:val="28"/>
          <w:lang w:val="uk-UA" w:eastAsia="uk-UA"/>
        </w:rPr>
        <w:t>Проблемно-тематичний підхід</w:t>
      </w:r>
      <w:r w:rsidRPr="00A41C78">
        <w:rPr>
          <w:rFonts w:ascii="Times New Roman" w:eastAsia="Times New Roman" w:hAnsi="Times New Roman" w:cs="Times New Roman"/>
          <w:b/>
          <w:kern w:val="0"/>
          <w:sz w:val="28"/>
          <w:szCs w:val="28"/>
          <w:lang w:val="uk-UA" w:eastAsia="uk-UA"/>
        </w:rPr>
        <w:t xml:space="preserve"> </w:t>
      </w:r>
      <w:r w:rsidRPr="00A41C78">
        <w:rPr>
          <w:rFonts w:ascii="Times New Roman" w:eastAsia="Times New Roman" w:hAnsi="Times New Roman" w:cs="Times New Roman"/>
          <w:kern w:val="0"/>
          <w:sz w:val="28"/>
          <w:szCs w:val="28"/>
          <w:lang w:val="uk-UA" w:eastAsia="uk-UA"/>
        </w:rPr>
        <w:t xml:space="preserve">дозволив дослідити наукові праці з огляду на їх проблематику, залежно від особливостей і тенденцій розвитку науки у ХІХ – на початку ХХ століття. </w:t>
      </w:r>
      <w:r w:rsidRPr="00A41C78">
        <w:rPr>
          <w:rFonts w:ascii="Times New Roman" w:eastAsia="Times New Roman" w:hAnsi="Times New Roman" w:cs="Times New Roman"/>
          <w:i/>
          <w:kern w:val="0"/>
          <w:sz w:val="28"/>
          <w:szCs w:val="28"/>
          <w:lang w:val="uk-UA" w:eastAsia="uk-UA"/>
        </w:rPr>
        <w:t xml:space="preserve">Історико-педагогічний регіоналізм </w:t>
      </w:r>
      <w:r w:rsidRPr="00A41C78">
        <w:rPr>
          <w:rFonts w:ascii="Times New Roman" w:eastAsia="Times New Roman" w:hAnsi="Times New Roman" w:cs="Times New Roman"/>
          <w:kern w:val="0"/>
          <w:sz w:val="28"/>
          <w:szCs w:val="28"/>
          <w:lang w:val="uk-UA" w:eastAsia="uk-UA"/>
        </w:rPr>
        <w:t xml:space="preserve">дав можливість класифікувати джерельну базу як дослідження вітчизняних, українських і зарубіжних учених, а також виявити специфіку волинського регіону в контексті окресленої проблеми. </w:t>
      </w:r>
      <w:r w:rsidRPr="00A41C78">
        <w:rPr>
          <w:rFonts w:ascii="Times New Roman" w:eastAsia="Times New Roman" w:hAnsi="Times New Roman" w:cs="Times New Roman"/>
          <w:i/>
          <w:kern w:val="0"/>
          <w:sz w:val="28"/>
          <w:szCs w:val="28"/>
          <w:lang w:val="uk-UA" w:eastAsia="uk-UA"/>
        </w:rPr>
        <w:t>Персоніфікований підхід</w:t>
      </w:r>
      <w:r w:rsidRPr="00A41C78">
        <w:rPr>
          <w:rFonts w:ascii="Times New Roman" w:eastAsia="Times New Roman" w:hAnsi="Times New Roman" w:cs="Times New Roman"/>
          <w:b/>
          <w:kern w:val="0"/>
          <w:sz w:val="28"/>
          <w:szCs w:val="28"/>
          <w:lang w:val="uk-UA" w:eastAsia="uk-UA"/>
        </w:rPr>
        <w:t xml:space="preserve"> </w:t>
      </w:r>
      <w:r w:rsidRPr="00A41C78">
        <w:rPr>
          <w:rFonts w:ascii="Times New Roman" w:eastAsia="Times New Roman" w:hAnsi="Times New Roman" w:cs="Times New Roman"/>
          <w:kern w:val="0"/>
          <w:sz w:val="28"/>
          <w:szCs w:val="28"/>
          <w:lang w:val="uk-UA" w:eastAsia="uk-UA"/>
        </w:rPr>
        <w:t xml:space="preserve">сприяв виявленню специфіки педагогічної спадщини іноземних педагогів та їх внесок у теорію та практику навчання і виховання дітей та молоді; дозволив проаналізувати персоналії відомих педагогів-іноземців. Визначено категорійні ознаки базових понять дослідження «іноземний педагог», «освітня діяльність іноземних педагогів», «просвітницька діяльність іноземних педагогів» та «освітньо-просвітницька діяльність іноземних педагогів на Волині». За </w:t>
      </w:r>
      <w:r w:rsidRPr="00A41C78">
        <w:rPr>
          <w:rFonts w:ascii="Times New Roman" w:eastAsia="Times New Roman" w:hAnsi="Times New Roman" w:cs="Times New Roman"/>
          <w:i/>
          <w:kern w:val="0"/>
          <w:sz w:val="28"/>
          <w:szCs w:val="28"/>
          <w:lang w:val="uk-UA" w:eastAsia="uk-UA"/>
        </w:rPr>
        <w:t>джерелознавчим підходом</w:t>
      </w:r>
      <w:r w:rsidRPr="00A41C78">
        <w:rPr>
          <w:rFonts w:ascii="Times New Roman" w:eastAsia="Times New Roman" w:hAnsi="Times New Roman" w:cs="Times New Roman"/>
          <w:b/>
          <w:kern w:val="0"/>
          <w:sz w:val="28"/>
          <w:szCs w:val="28"/>
          <w:lang w:val="uk-UA" w:eastAsia="uk-UA"/>
        </w:rPr>
        <w:t xml:space="preserve"> </w:t>
      </w:r>
      <w:r w:rsidRPr="00A41C78">
        <w:rPr>
          <w:rFonts w:ascii="Times New Roman" w:eastAsia="Times New Roman" w:hAnsi="Times New Roman" w:cs="Times New Roman"/>
          <w:kern w:val="0"/>
          <w:sz w:val="28"/>
          <w:szCs w:val="28"/>
          <w:lang w:val="uk-UA" w:eastAsia="uk-UA"/>
        </w:rPr>
        <w:t xml:space="preserve">висвітлено основні джерела проведеного дослідження. </w:t>
      </w:r>
      <w:r w:rsidRPr="00A41C78">
        <w:rPr>
          <w:rFonts w:ascii="Times New Roman" w:eastAsia="Times New Roman" w:hAnsi="Times New Roman" w:cs="Times New Roman"/>
          <w:i/>
          <w:kern w:val="0"/>
          <w:sz w:val="28"/>
          <w:szCs w:val="28"/>
          <w:lang w:val="uk-UA" w:eastAsia="uk-UA"/>
        </w:rPr>
        <w:t>Системний аналіз</w:t>
      </w:r>
      <w:r w:rsidRPr="00A41C78">
        <w:rPr>
          <w:rFonts w:ascii="Times New Roman" w:eastAsia="Times New Roman" w:hAnsi="Times New Roman" w:cs="Times New Roman"/>
          <w:kern w:val="0"/>
          <w:sz w:val="28"/>
          <w:szCs w:val="28"/>
          <w:lang w:val="uk-UA" w:eastAsia="uk-UA"/>
        </w:rPr>
        <w:t xml:space="preserve"> дозволив окреслити місце освітньо-просвітницької діяльності іноземних педагогів на Волині (ХІХ – початку ХХ століття) серед досліджень у педагогічній науці загалом.</w:t>
      </w:r>
    </w:p>
    <w:p w:rsidR="00A41C78" w:rsidRPr="00A41C78" w:rsidRDefault="00A41C78" w:rsidP="00A41C78">
      <w:pPr>
        <w:tabs>
          <w:tab w:val="clear" w:pos="709"/>
          <w:tab w:val="left" w:pos="8647"/>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A41C78">
        <w:rPr>
          <w:rFonts w:ascii="Times New Roman" w:eastAsia="Times New Roman" w:hAnsi="Times New Roman" w:cs="Times New Roman"/>
          <w:b/>
          <w:bCs/>
          <w:kern w:val="0"/>
          <w:sz w:val="28"/>
          <w:szCs w:val="28"/>
          <w:lang w:val="uk-UA" w:eastAsia="uk-UA"/>
        </w:rPr>
        <w:t>Методи дослідження.</w:t>
      </w:r>
      <w:r w:rsidRPr="00A41C78">
        <w:rPr>
          <w:rFonts w:ascii="Times New Roman" w:eastAsia="Times New Roman" w:hAnsi="Times New Roman" w:cs="Times New Roman"/>
          <w:bCs/>
          <w:kern w:val="0"/>
          <w:sz w:val="28"/>
          <w:szCs w:val="28"/>
          <w:lang w:val="uk-UA" w:eastAsia="uk-UA"/>
        </w:rPr>
        <w:t xml:space="preserve"> Відповідно до поставлених мети і завдань використовувались наступні методи:</w:t>
      </w:r>
    </w:p>
    <w:p w:rsidR="00A41C78" w:rsidRPr="00A41C78" w:rsidRDefault="00A41C78" w:rsidP="00A41C78">
      <w:pPr>
        <w:tabs>
          <w:tab w:val="clear" w:pos="709"/>
          <w:tab w:val="left" w:pos="8647"/>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A41C78">
        <w:rPr>
          <w:rFonts w:ascii="Times New Roman" w:eastAsia="Times New Roman" w:hAnsi="Times New Roman" w:cs="Times New Roman"/>
          <w:bCs/>
          <w:i/>
          <w:kern w:val="0"/>
          <w:sz w:val="28"/>
          <w:szCs w:val="28"/>
          <w:lang w:val="uk-UA" w:eastAsia="uk-UA"/>
        </w:rPr>
        <w:t>загальнотеоретичні</w:t>
      </w:r>
      <w:r w:rsidRPr="00A41C78">
        <w:rPr>
          <w:rFonts w:ascii="Times New Roman" w:eastAsia="Times New Roman" w:hAnsi="Times New Roman" w:cs="Times New Roman"/>
          <w:bCs/>
          <w:kern w:val="0"/>
          <w:sz w:val="28"/>
          <w:szCs w:val="28"/>
          <w:lang w:val="uk-UA" w:eastAsia="uk-UA"/>
        </w:rPr>
        <w:t xml:space="preserve"> – аналіз, синтез, узагальнення, абстрагування, систематизація, класифікація, індукція, дедукція, моделювання для з’ясування стану розробленості окресленої проблеми та обґрунтування теоретичних положень дослідження; </w:t>
      </w:r>
    </w:p>
    <w:p w:rsidR="00A41C78" w:rsidRPr="00A41C78" w:rsidRDefault="00A41C78" w:rsidP="00A41C78">
      <w:pPr>
        <w:tabs>
          <w:tab w:val="clear" w:pos="709"/>
          <w:tab w:val="left" w:pos="8647"/>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Cs/>
          <w:i/>
          <w:kern w:val="0"/>
          <w:sz w:val="28"/>
          <w:szCs w:val="28"/>
          <w:lang w:val="uk-UA" w:eastAsia="uk-UA"/>
        </w:rPr>
        <w:t>історико-педагогічні</w:t>
      </w:r>
      <w:r w:rsidRPr="00A41C78">
        <w:rPr>
          <w:rFonts w:ascii="Times New Roman" w:eastAsia="Times New Roman" w:hAnsi="Times New Roman" w:cs="Times New Roman"/>
          <w:bCs/>
          <w:kern w:val="0"/>
          <w:sz w:val="28"/>
          <w:szCs w:val="28"/>
          <w:lang w:val="uk-UA" w:eastAsia="uk-UA"/>
        </w:rPr>
        <w:t xml:space="preserve">: </w:t>
      </w:r>
      <w:r w:rsidRPr="00A41C78">
        <w:rPr>
          <w:rFonts w:ascii="Times New Roman" w:eastAsia="Times New Roman" w:hAnsi="Times New Roman" w:cs="Times New Roman"/>
          <w:kern w:val="0"/>
          <w:sz w:val="28"/>
          <w:szCs w:val="28"/>
          <w:lang w:val="uk-UA" w:eastAsia="uk-UA"/>
        </w:rPr>
        <w:t>історико-правовий – для аналізу правових норм царського уряду Російської імперії, що визначали діяльність педагогів іноземців на Волині; історико-структурний – з метою структурування історико-педагогічної літератури з проблеми дослідження; історико-генетичний – для відтворення ретроспективи просвітницької діяльності педагогів-іноземців Волині у контексті Волинського освітнього простору і регіоналізму; історико-діахронний – з метою виявлення й характеристики основних етапів та напрямів освітньої, культурної та просвітницької діяльності іноземних педагогів Волині; у межах історико-біографічного – здійснено аналіз і систематизацію у хронологічних межах діяльності іноземних педагогів і культурних діячів розвитку освіти, науки і культури Волині (ХІХ – початку ХХ століття); у контексті історико-хронологічного методу визначено передумови та поетапна діяльність іноземних педагогів зазначеного періоду у чіткій логічній послідовності; історико-порівняльний використовувався для аналізу в порівняльному аспекті теоретичних та практичних надбань освітньо-просвітницької діяльності іноземних педагогів.</w:t>
      </w:r>
    </w:p>
    <w:p w:rsidR="00A41C78" w:rsidRPr="00A41C78" w:rsidRDefault="00A41C78" w:rsidP="00A41C78">
      <w:pPr>
        <w:tabs>
          <w:tab w:val="clear" w:pos="709"/>
          <w:tab w:val="left" w:pos="8647"/>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Cs/>
          <w:kern w:val="0"/>
          <w:sz w:val="28"/>
          <w:szCs w:val="28"/>
          <w:lang w:val="uk-UA" w:eastAsia="uk-UA"/>
        </w:rPr>
        <w:t xml:space="preserve">Дослідження здійснювалося </w:t>
      </w:r>
      <w:r w:rsidRPr="00A41C78">
        <w:rPr>
          <w:rFonts w:ascii="Times New Roman" w:eastAsia="Times New Roman" w:hAnsi="Times New Roman" w:cs="Times New Roman"/>
          <w:kern w:val="0"/>
          <w:sz w:val="28"/>
          <w:szCs w:val="28"/>
          <w:lang w:val="uk-UA" w:eastAsia="uk-UA"/>
        </w:rPr>
        <w:t>протягом 2005-2009 рр. у декілька етапів.</w:t>
      </w:r>
    </w:p>
    <w:p w:rsidR="00A41C78" w:rsidRPr="00A41C78" w:rsidRDefault="00A41C78" w:rsidP="00A41C78">
      <w:pPr>
        <w:tabs>
          <w:tab w:val="clear" w:pos="709"/>
          <w:tab w:val="left" w:pos="8647"/>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На першому етапі</w:t>
      </w:r>
      <w:r w:rsidRPr="00A41C78">
        <w:rPr>
          <w:rFonts w:ascii="Times New Roman" w:eastAsia="Times New Roman" w:hAnsi="Times New Roman" w:cs="Times New Roman"/>
          <w:kern w:val="0"/>
          <w:sz w:val="28"/>
          <w:szCs w:val="28"/>
          <w:lang w:val="uk-UA" w:eastAsia="uk-UA"/>
        </w:rPr>
        <w:t xml:space="preserve"> (2005-2006 рр.) проведено попередній аналіз стану дослідженості проблеми в історико-педагогічній літературі; визначено об’єкт, предмет, мету дослідження й розроблено його структуру.</w:t>
      </w:r>
    </w:p>
    <w:p w:rsidR="00A41C78" w:rsidRPr="00A41C78" w:rsidRDefault="00A41C78" w:rsidP="00A41C78">
      <w:pPr>
        <w:tabs>
          <w:tab w:val="clear" w:pos="709"/>
          <w:tab w:val="left" w:pos="8647"/>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На другому етапі</w:t>
      </w:r>
      <w:r w:rsidRPr="00A41C78">
        <w:rPr>
          <w:rFonts w:ascii="Times New Roman" w:eastAsia="Times New Roman" w:hAnsi="Times New Roman" w:cs="Times New Roman"/>
          <w:kern w:val="0"/>
          <w:sz w:val="28"/>
          <w:szCs w:val="28"/>
          <w:lang w:val="uk-UA" w:eastAsia="uk-UA"/>
        </w:rPr>
        <w:t xml:space="preserve"> (2006-2008 рр.) проаналізовано літературу з історії освіти, архівні матеріали; здійснено класифікацію, систематизацію джерельної бази відповідно до структури дисертації.</w:t>
      </w:r>
    </w:p>
    <w:p w:rsidR="00A41C78" w:rsidRPr="00A41C78" w:rsidRDefault="00A41C78" w:rsidP="00A41C78">
      <w:pPr>
        <w:tabs>
          <w:tab w:val="clear" w:pos="709"/>
          <w:tab w:val="left" w:pos="8647"/>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На третьому етапі</w:t>
      </w:r>
      <w:r w:rsidRPr="00A41C78">
        <w:rPr>
          <w:rFonts w:ascii="Times New Roman" w:eastAsia="Times New Roman" w:hAnsi="Times New Roman" w:cs="Times New Roman"/>
          <w:kern w:val="0"/>
          <w:sz w:val="28"/>
          <w:szCs w:val="28"/>
          <w:lang w:val="uk-UA" w:eastAsia="uk-UA"/>
        </w:rPr>
        <w:t xml:space="preserve"> (2008-2009 рр.) систематизовано й узагальнено дослідницькі матеріали та підготовлено текстову частину рукопису дисертації; завершено апробацію результатів дослідження на наукових конференціях у цей період; видано навчально-методичний посібник «Діяльність педагогів-іноземців на Волині (ХІХ – початок ХХ століття)»; укладено термінологічний словник.</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color w:val="000000"/>
          <w:kern w:val="0"/>
          <w:sz w:val="28"/>
          <w:szCs w:val="28"/>
          <w:lang w:val="uk-UA" w:eastAsia="uk-UA"/>
        </w:rPr>
        <w:t xml:space="preserve">Хронологічні межі дослідження. </w:t>
      </w:r>
      <w:r w:rsidRPr="00A41C78">
        <w:rPr>
          <w:rFonts w:ascii="Times New Roman" w:eastAsia="Times New Roman" w:hAnsi="Times New Roman" w:cs="Times New Roman"/>
          <w:color w:val="000000"/>
          <w:kern w:val="0"/>
          <w:sz w:val="28"/>
          <w:szCs w:val="28"/>
          <w:lang w:val="uk-UA" w:eastAsia="uk-UA"/>
        </w:rPr>
        <w:t>Нижня межа дослідження визначається відкриттям Кременецького ліцею (1805 р.), коли на Волині здійснювали педагогічну діяльність іноземні вчені, переважно з метою забезпечення навчально-виховного процесу в Кременецькому ліцеї та проведення регіональних наукових пошуків</w:t>
      </w:r>
      <w:r w:rsidRPr="00A41C78">
        <w:rPr>
          <w:rFonts w:ascii="Times New Roman" w:eastAsia="Times New Roman" w:hAnsi="Times New Roman" w:cs="Times New Roman"/>
          <w:kern w:val="0"/>
          <w:sz w:val="28"/>
          <w:szCs w:val="28"/>
          <w:lang w:val="uk-UA" w:eastAsia="uk-UA"/>
        </w:rPr>
        <w:t>.</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uk-UA"/>
        </w:rPr>
      </w:pPr>
      <w:r w:rsidRPr="00A41C78">
        <w:rPr>
          <w:rFonts w:ascii="Times New Roman" w:eastAsia="Times New Roman" w:hAnsi="Times New Roman" w:cs="Times New Roman"/>
          <w:color w:val="000000"/>
          <w:kern w:val="0"/>
          <w:sz w:val="28"/>
          <w:szCs w:val="28"/>
          <w:lang w:val="uk-UA" w:eastAsia="uk-UA"/>
        </w:rPr>
        <w:t>Верхня хронологічна межа наукового пошуку обмежується початком XX століття. При її визначенні ми виходили з того, що Перша світова війна і революція 1917 р. здійснили вирішальний вплив на місце та роль іноземних педагогів у системі освіти Волині.</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Територіальні межі дослідження.</w:t>
      </w:r>
      <w:r w:rsidRPr="00A41C78">
        <w:rPr>
          <w:rFonts w:ascii="Times New Roman" w:eastAsia="Times New Roman" w:hAnsi="Times New Roman" w:cs="Times New Roman"/>
          <w:kern w:val="0"/>
          <w:sz w:val="28"/>
          <w:szCs w:val="28"/>
          <w:lang w:val="uk-UA" w:eastAsia="uk-UA"/>
        </w:rPr>
        <w:t xml:space="preserve"> Регіоном дослідження обрана Волинь, адміністративно-територіальний устрій якої склався після другого поділу Польщі (1793 рік). Саме тоді територія Правобережної України була об’єднана з Лівобережною у складі Російської імперії. Територіальні межі Волині сформувалися з утворенням Південно–Західного краю (1832 р.). До нього увійшли три губернії: Київська, Подільська та Волинська. На той час Волинська губернія включала 12 повітів: Володимир-Волинський, Дубинський, Житомирський, Заславський, Ковельський, Кременецький, Луцький, Новоград-Волинський, Овруцький, Острозький, Рівненський і Старокостянтинівський. Пізніше, з 1922 року, Волинь була поділена на радянську і польську. Такий поділ проіснував до 1939 року.</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 xml:space="preserve">Джерельну базу дослідження </w:t>
      </w:r>
      <w:r w:rsidRPr="00A41C78">
        <w:rPr>
          <w:rFonts w:ascii="Times New Roman" w:eastAsia="Times New Roman" w:hAnsi="Times New Roman" w:cs="Times New Roman"/>
          <w:kern w:val="0"/>
          <w:sz w:val="28"/>
          <w:szCs w:val="28"/>
          <w:lang w:val="uk-UA" w:eastAsia="uk-UA"/>
        </w:rPr>
        <w:t>склали документи та матеріали Центрального державного історичного архіву в м. Києві (фф. 707, 710), Житомирського обласного державного архіву (фф. 71, 72, 73, 256), Рівненського обласного державного архіву (фф. 13, 30, 215,</w:t>
      </w:r>
      <w:r w:rsidRPr="00A41C78">
        <w:rPr>
          <w:rFonts w:ascii="Times New Roman" w:eastAsia="Times New Roman" w:hAnsi="Times New Roman" w:cs="Times New Roman"/>
          <w:b/>
          <w:kern w:val="0"/>
          <w:sz w:val="28"/>
          <w:szCs w:val="28"/>
          <w:lang w:val="uk-UA" w:eastAsia="uk-UA"/>
        </w:rPr>
        <w:t xml:space="preserve"> </w:t>
      </w:r>
      <w:r w:rsidRPr="00A41C78">
        <w:rPr>
          <w:rFonts w:ascii="Times New Roman" w:eastAsia="Times New Roman" w:hAnsi="Times New Roman" w:cs="Times New Roman"/>
          <w:kern w:val="0"/>
          <w:sz w:val="28"/>
          <w:szCs w:val="28"/>
          <w:lang w:val="uk-UA" w:eastAsia="uk-UA"/>
        </w:rPr>
        <w:t>290, 394, 496, 555, 568, 569, 570, 614),</w:t>
      </w:r>
      <w:r w:rsidRPr="00A41C78">
        <w:rPr>
          <w:rFonts w:ascii="Times New Roman" w:eastAsia="Times New Roman" w:hAnsi="Times New Roman" w:cs="Times New Roman"/>
          <w:b/>
          <w:kern w:val="0"/>
          <w:sz w:val="28"/>
          <w:szCs w:val="28"/>
          <w:lang w:val="uk-UA" w:eastAsia="uk-UA"/>
        </w:rPr>
        <w:t xml:space="preserve"> </w:t>
      </w:r>
      <w:r w:rsidRPr="00A41C78">
        <w:rPr>
          <w:rFonts w:ascii="Times New Roman" w:eastAsia="Times New Roman" w:hAnsi="Times New Roman" w:cs="Times New Roman"/>
          <w:kern w:val="0"/>
          <w:sz w:val="28"/>
          <w:szCs w:val="28"/>
          <w:lang w:val="uk-UA" w:eastAsia="uk-UA"/>
        </w:rPr>
        <w:t xml:space="preserve">Тернопільського обласного державного архіву (ф. 408), матеріали краєзнавчого музею м. Житомира, Кременецького та Острозького міських архівів, Національної бібліотеки України ім. В. Вернадського, Національної парламентської бібліотеки України, державної науково-педагогічної бібліотеки України імені В. О. Сухомлинського, державної науково-технічної бібліотеки України, державних наукових бібліотек міст Житомира, Кременця та Острозької науково-педагогічної бібліотеки. </w:t>
      </w:r>
    </w:p>
    <w:p w:rsidR="00A41C78" w:rsidRPr="00A41C78" w:rsidRDefault="00A41C78" w:rsidP="00A41C78">
      <w:pPr>
        <w:tabs>
          <w:tab w:val="clear" w:pos="709"/>
        </w:tabs>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Окрему групу джерел склали опубліковані праці, присвячені розвитку освіти на Волині. У процесі дослідження опрацьовано періодичні видання кінця ХІХ – початку ХХ століття («Волинські єпархіальні відомості» (1866, № 3-4; 1908, № 30, 43, 44), «Киевская старина» (1893, Т. 40, № 1-3; 1906), «Світло» (1911, Кн. 8, квіт.), «</w:t>
      </w:r>
      <w:r w:rsidRPr="00A41C78">
        <w:rPr>
          <w:rFonts w:ascii="Times New Roman" w:eastAsia="Times New Roman" w:hAnsi="Times New Roman" w:cs="Times New Roman"/>
          <w:kern w:val="0"/>
          <w:sz w:val="28"/>
          <w:szCs w:val="28"/>
          <w:lang w:val="pl-PL" w:eastAsia="uk-UA"/>
        </w:rPr>
        <w:t>Klosy</w:t>
      </w:r>
      <w:r w:rsidRPr="00A41C78">
        <w:rPr>
          <w:rFonts w:ascii="Times New Roman" w:eastAsia="Times New Roman" w:hAnsi="Times New Roman" w:cs="Times New Roman"/>
          <w:kern w:val="0"/>
          <w:sz w:val="28"/>
          <w:szCs w:val="28"/>
          <w:lang w:val="uk-UA" w:eastAsia="uk-UA"/>
        </w:rPr>
        <w:t>» (1875, Т. 21, № 546) тощо). Джерелознавчою базою дослідження стали також автореферати дисертацій та дисертаційні дослідження за обраною проблематикою.</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bCs/>
          <w:kern w:val="0"/>
          <w:sz w:val="28"/>
          <w:szCs w:val="28"/>
          <w:lang w:val="uk-UA" w:eastAsia="uk-UA"/>
        </w:rPr>
        <w:t>Наукова новизна й теоретичне значення результатів</w:t>
      </w:r>
      <w:r w:rsidRPr="00A41C78">
        <w:rPr>
          <w:rFonts w:ascii="Times New Roman" w:eastAsia="Times New Roman" w:hAnsi="Times New Roman" w:cs="Times New Roman"/>
          <w:kern w:val="0"/>
          <w:sz w:val="28"/>
          <w:szCs w:val="28"/>
          <w:lang w:val="uk-UA" w:eastAsia="uk-UA"/>
        </w:rPr>
        <w:t xml:space="preserve"> дослідження полягає в тому, що </w:t>
      </w:r>
      <w:r w:rsidRPr="00A41C78">
        <w:rPr>
          <w:rFonts w:ascii="Times New Roman" w:eastAsia="Times New Roman" w:hAnsi="Times New Roman" w:cs="Times New Roman"/>
          <w:i/>
          <w:kern w:val="0"/>
          <w:sz w:val="28"/>
          <w:szCs w:val="28"/>
          <w:lang w:val="uk-UA" w:eastAsia="uk-UA"/>
        </w:rPr>
        <w:t xml:space="preserve">вперше </w:t>
      </w:r>
      <w:r w:rsidRPr="00A41C78">
        <w:rPr>
          <w:rFonts w:ascii="Times New Roman" w:eastAsia="Times New Roman" w:hAnsi="Times New Roman" w:cs="Times New Roman"/>
          <w:kern w:val="0"/>
          <w:sz w:val="28"/>
          <w:szCs w:val="28"/>
          <w:lang w:val="uk-UA" w:eastAsia="uk-UA"/>
        </w:rPr>
        <w:t>: розкрито сутність і зміст чинників, що вплинули на розвиток педагогічної діяльності іноземців у системі освіти іншої держави; уточнено сутнісні характеристики поняття «іноземний педагог», виявлено теоретичні засади їх практичної педагогічної діяльності на Волині; здійснено</w:t>
      </w:r>
      <w:r w:rsidRPr="00A41C78">
        <w:rPr>
          <w:rFonts w:ascii="Times New Roman" w:eastAsia="Times New Roman" w:hAnsi="Times New Roman" w:cs="Times New Roman"/>
          <w:i/>
          <w:kern w:val="0"/>
          <w:sz w:val="28"/>
          <w:szCs w:val="28"/>
          <w:lang w:val="uk-UA" w:eastAsia="uk-UA"/>
        </w:rPr>
        <w:t xml:space="preserve"> </w:t>
      </w:r>
      <w:r w:rsidRPr="00A41C78">
        <w:rPr>
          <w:rFonts w:ascii="Times New Roman" w:eastAsia="Times New Roman" w:hAnsi="Times New Roman" w:cs="Times New Roman"/>
          <w:kern w:val="0"/>
          <w:sz w:val="28"/>
          <w:szCs w:val="28"/>
          <w:lang w:val="uk-UA" w:eastAsia="uk-UA"/>
        </w:rPr>
        <w:t xml:space="preserve">аналіз форм, методів та засобів навчання і виховання дітей у діяльності іноземних педагогів на Волині; </w:t>
      </w:r>
      <w:r w:rsidRPr="00A41C78">
        <w:rPr>
          <w:rFonts w:ascii="Times New Roman" w:eastAsia="Times New Roman" w:hAnsi="Times New Roman" w:cs="Times New Roman"/>
          <w:i/>
          <w:kern w:val="0"/>
          <w:sz w:val="28"/>
          <w:szCs w:val="28"/>
          <w:lang w:val="uk-UA" w:eastAsia="uk-UA"/>
        </w:rPr>
        <w:t>удосконалено</w:t>
      </w:r>
      <w:r w:rsidRPr="00A41C78">
        <w:rPr>
          <w:rFonts w:ascii="Times New Roman" w:eastAsia="Times New Roman" w:hAnsi="Times New Roman" w:cs="Times New Roman"/>
          <w:kern w:val="0"/>
          <w:sz w:val="28"/>
          <w:szCs w:val="28"/>
          <w:lang w:val="uk-UA" w:eastAsia="uk-UA"/>
        </w:rPr>
        <w:t xml:space="preserve"> періодизацію розвитку освіти на Волині в контексті діяльності педагогів-іноземців; визначено основні тенденції розвитку освітньо-просвітницької діяльності педагогів-іноземців у поліетнічному освітньому середовищі Волині; </w:t>
      </w:r>
      <w:r w:rsidRPr="00A41C78">
        <w:rPr>
          <w:rFonts w:ascii="Times New Roman" w:eastAsia="Times New Roman" w:hAnsi="Times New Roman" w:cs="Times New Roman"/>
          <w:i/>
          <w:kern w:val="0"/>
          <w:sz w:val="28"/>
          <w:szCs w:val="28"/>
          <w:lang w:val="uk-UA" w:eastAsia="uk-UA"/>
        </w:rPr>
        <w:t xml:space="preserve">подальшого розвитку </w:t>
      </w:r>
      <w:r w:rsidRPr="00A41C78">
        <w:rPr>
          <w:rFonts w:ascii="Times New Roman" w:eastAsia="Times New Roman" w:hAnsi="Times New Roman" w:cs="Times New Roman"/>
          <w:kern w:val="0"/>
          <w:sz w:val="28"/>
          <w:szCs w:val="28"/>
          <w:lang w:val="uk-UA" w:eastAsia="uk-UA"/>
        </w:rPr>
        <w:t xml:space="preserve">набуло історико-педагогічне знання про роль та значення діяльності педагогів-іноземців у регіональному соціокультурному середовищі. </w:t>
      </w:r>
      <w:r w:rsidRPr="00A41C78">
        <w:rPr>
          <w:rFonts w:ascii="Times New Roman" w:eastAsia="Times New Roman" w:hAnsi="Times New Roman" w:cs="Times New Roman"/>
          <w:bCs/>
          <w:i/>
          <w:kern w:val="0"/>
          <w:sz w:val="28"/>
          <w:szCs w:val="28"/>
          <w:lang w:val="uk-UA" w:eastAsia="uk-UA"/>
        </w:rPr>
        <w:t>До наукового обігу введено</w:t>
      </w:r>
      <w:r w:rsidRPr="00A41C78">
        <w:rPr>
          <w:rFonts w:ascii="Times New Roman" w:eastAsia="Times New Roman" w:hAnsi="Times New Roman" w:cs="Times New Roman"/>
          <w:bCs/>
          <w:kern w:val="0"/>
          <w:sz w:val="28"/>
          <w:szCs w:val="28"/>
          <w:lang w:val="uk-UA" w:eastAsia="uk-UA"/>
        </w:rPr>
        <w:t xml:space="preserve"> невідомі й маловідомі документи з історії діяльності іноземних педагогів на Волині ХІХ – початку ХХ століття, загалом 26 архівних документів.</w:t>
      </w:r>
    </w:p>
    <w:p w:rsidR="00A41C78" w:rsidRPr="00A41C78" w:rsidRDefault="00A41C78" w:rsidP="00A41C78">
      <w:pPr>
        <w:tabs>
          <w:tab w:val="clear" w:pos="709"/>
          <w:tab w:val="left" w:pos="8647"/>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kern w:val="0"/>
          <w:sz w:val="28"/>
          <w:szCs w:val="28"/>
          <w:lang w:val="uk-UA" w:eastAsia="uk-UA"/>
        </w:rPr>
        <w:t>Практичне значення дослідження</w:t>
      </w:r>
      <w:r w:rsidRPr="00A41C78">
        <w:rPr>
          <w:rFonts w:ascii="Times New Roman" w:eastAsia="Times New Roman" w:hAnsi="Times New Roman" w:cs="Times New Roman"/>
          <w:kern w:val="0"/>
          <w:sz w:val="28"/>
          <w:szCs w:val="28"/>
          <w:lang w:val="uk-UA" w:eastAsia="uk-UA"/>
        </w:rPr>
        <w:t xml:space="preserve"> полягає в тому, що матеріали дисертації поглиблюють і розширюють курс історії вітчизняної педагогіки для студентів ВНЗ. Результати наукового пошуку відображено в навчально-методичному посібнику «Діяльність іноземних педагогів на Волині (ХІХ – початок ХХ століття)», який запроваджено на практичних заняттях з історії педагогіки в Тернопільському національному педагогічному університеті імені Володимира Гнатюка, Житомирському державному університеті імені Івана Франка, Кременецькому обласному гуманітарно-педагогічному інституті ім. Тараса Шевченка.</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Результати дисертації можуть використовуватися під час вивчення студентами навчальних дисциплін «Педагогіка» та «Історія педагогіки», зокрема, при виконанні самостійних індивідуальних завдань та підготовці творчих робіт у ВНЗ; у системі післядипломної освіти вчителів, при укладанні навчальних програм для майбутніх педагогів.</w:t>
      </w:r>
    </w:p>
    <w:p w:rsidR="00A41C78" w:rsidRPr="00A41C78" w:rsidRDefault="00A41C78" w:rsidP="00A41C78">
      <w:pPr>
        <w:tabs>
          <w:tab w:val="clear" w:pos="709"/>
          <w:tab w:val="left" w:pos="8647"/>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bCs/>
          <w:kern w:val="0"/>
          <w:sz w:val="28"/>
          <w:szCs w:val="28"/>
          <w:lang w:val="uk-UA" w:eastAsia="uk-UA"/>
        </w:rPr>
        <w:t>Результати дослідження впроваджені</w:t>
      </w:r>
      <w:r w:rsidRPr="00A41C78">
        <w:rPr>
          <w:rFonts w:ascii="Times New Roman" w:eastAsia="Times New Roman" w:hAnsi="Times New Roman" w:cs="Times New Roman"/>
          <w:kern w:val="0"/>
          <w:sz w:val="28"/>
          <w:szCs w:val="28"/>
          <w:lang w:val="uk-UA" w:eastAsia="uk-UA"/>
        </w:rPr>
        <w:t xml:space="preserve"> у навчально-виховний процес Тернопільського національного педагогічного університету імені Володимира Гнатюка (Акт № 96-33/03 від 06. 02. 2009 р.), Житомирського державного університету ім. І. Франка (Акт № 499 від 24. 06. 2009 р.), Кременецького обласного гуманітарно-педагогічного інституту ім. Тараса Шевченка (Акт № 01-08-136 від 13. 03. 2009 р.).</w:t>
      </w:r>
    </w:p>
    <w:p w:rsidR="00A41C78" w:rsidRPr="00A41C78" w:rsidRDefault="00A41C78" w:rsidP="00A41C78">
      <w:pPr>
        <w:tabs>
          <w:tab w:val="clear" w:pos="709"/>
          <w:tab w:val="left" w:pos="8647"/>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bCs/>
          <w:kern w:val="0"/>
          <w:sz w:val="28"/>
          <w:szCs w:val="28"/>
          <w:lang w:val="uk-UA" w:eastAsia="uk-UA"/>
        </w:rPr>
        <w:t>Апробація результатів дисертаційного дослідження.</w:t>
      </w:r>
      <w:r w:rsidRPr="00A41C78">
        <w:rPr>
          <w:rFonts w:ascii="Times New Roman" w:eastAsia="Times New Roman" w:hAnsi="Times New Roman" w:cs="Times New Roman"/>
          <w:kern w:val="0"/>
          <w:sz w:val="28"/>
          <w:szCs w:val="28"/>
          <w:lang w:val="uk-UA" w:eastAsia="uk-UA"/>
        </w:rPr>
        <w:t xml:space="preserve"> Результати дослідження знайшли своє відображення у доповідях на науково-практичних конференціях, зокрема, </w:t>
      </w:r>
      <w:r w:rsidRPr="00A41C78">
        <w:rPr>
          <w:rFonts w:ascii="Times New Roman" w:eastAsia="Times New Roman" w:hAnsi="Times New Roman" w:cs="Times New Roman"/>
          <w:i/>
          <w:kern w:val="0"/>
          <w:sz w:val="28"/>
          <w:szCs w:val="28"/>
          <w:lang w:val="uk-UA" w:eastAsia="uk-UA"/>
        </w:rPr>
        <w:t>міжнародних</w:t>
      </w:r>
      <w:r w:rsidRPr="00A41C78">
        <w:rPr>
          <w:rFonts w:ascii="Times New Roman" w:eastAsia="Times New Roman" w:hAnsi="Times New Roman" w:cs="Times New Roman"/>
          <w:kern w:val="0"/>
          <w:sz w:val="28"/>
          <w:szCs w:val="28"/>
          <w:lang w:val="uk-UA" w:eastAsia="uk-UA"/>
        </w:rPr>
        <w:t xml:space="preserve">: «Формування професійної компетентності вчителя в умовах Європейської інтеграції» (Київ-Житомир, 2005), «Україна – Світ: від культурної своєрідності до спорідненості культур» (Київ, 2006), «Педагогічна система Антона Макаренка: історія, реалії і перспективи» (з нагоди 120-річчя з дня народження) (Житомир, 2008), «Кременецький ліцей у контексті розвитку освіти і культури на Волині в 20 -30 х роках ХХ ст.» (Кременець, 2008), «Парадигма Творення в сучасній науці: на шляху до інтегрованого світогляду» (Острог, 2008); </w:t>
      </w:r>
      <w:r w:rsidRPr="00A41C78">
        <w:rPr>
          <w:rFonts w:ascii="Times New Roman" w:eastAsia="Times New Roman" w:hAnsi="Times New Roman" w:cs="Times New Roman"/>
          <w:i/>
          <w:kern w:val="0"/>
          <w:sz w:val="28"/>
          <w:szCs w:val="28"/>
          <w:lang w:val="uk-UA" w:eastAsia="uk-UA"/>
        </w:rPr>
        <w:t>всеукраїнській</w:t>
      </w:r>
      <w:r w:rsidRPr="00A41C78">
        <w:rPr>
          <w:rFonts w:ascii="Times New Roman" w:eastAsia="Times New Roman" w:hAnsi="Times New Roman" w:cs="Times New Roman"/>
          <w:kern w:val="0"/>
          <w:sz w:val="28"/>
          <w:szCs w:val="28"/>
          <w:lang w:val="uk-UA" w:eastAsia="uk-UA"/>
        </w:rPr>
        <w:t xml:space="preserve"> з міжнародною участю «Формування професійно-педагогічної майстерності вчителів: історія, сучасність, перспективи» (Житомир, 2009); </w:t>
      </w:r>
      <w:r w:rsidRPr="00A41C78">
        <w:rPr>
          <w:rFonts w:ascii="Times New Roman" w:eastAsia="Times New Roman" w:hAnsi="Times New Roman" w:cs="Times New Roman"/>
          <w:i/>
          <w:kern w:val="0"/>
          <w:sz w:val="28"/>
          <w:szCs w:val="28"/>
          <w:lang w:val="uk-UA" w:eastAsia="uk-UA"/>
        </w:rPr>
        <w:t>всеукраїнських</w:t>
      </w:r>
      <w:r w:rsidRPr="00A41C78">
        <w:rPr>
          <w:rFonts w:ascii="Times New Roman" w:eastAsia="Times New Roman" w:hAnsi="Times New Roman" w:cs="Times New Roman"/>
          <w:kern w:val="0"/>
          <w:sz w:val="28"/>
          <w:szCs w:val="28"/>
          <w:lang w:val="uk-UA" w:eastAsia="uk-UA"/>
        </w:rPr>
        <w:t xml:space="preserve">: «Спадщина Івана Франка в контексті української освіти та культури» (Житомир, 2006), «Новаторські навчально-виховні заклади в історії розвитку освіти в Україні» (Житомир, 2007), «Інноваційні технології сучасної початкової освіти» (Житомир, 2008), «Педагогічна система Василя Сухомлинського і сучасність» (Житомир, 2008); всеукраїнському методологічному </w:t>
      </w:r>
      <w:r w:rsidRPr="00A41C78">
        <w:rPr>
          <w:rFonts w:ascii="Times New Roman" w:eastAsia="Times New Roman" w:hAnsi="Times New Roman" w:cs="Times New Roman"/>
          <w:i/>
          <w:kern w:val="0"/>
          <w:sz w:val="28"/>
          <w:szCs w:val="28"/>
          <w:lang w:val="uk-UA" w:eastAsia="uk-UA"/>
        </w:rPr>
        <w:t xml:space="preserve">семінарі </w:t>
      </w:r>
      <w:r w:rsidRPr="00A41C78">
        <w:rPr>
          <w:rFonts w:ascii="Times New Roman" w:eastAsia="Times New Roman" w:hAnsi="Times New Roman" w:cs="Times New Roman"/>
          <w:kern w:val="0"/>
          <w:sz w:val="28"/>
          <w:szCs w:val="28"/>
          <w:lang w:val="uk-UA" w:eastAsia="uk-UA"/>
        </w:rPr>
        <w:t>з міжнародною участю «Модернізація вищої освіти у контексті євроінтеграційних процесів» (Житомир, 2007); міжрегіональній «Проблема духовності сучасної молоді: реалії та перспективи» (Житомир, 2007); ХІ науковій викладацько-студентській конференції «Дні науки НаУОА» (Острог, 2006).</w:t>
      </w:r>
    </w:p>
    <w:p w:rsidR="00A41C78" w:rsidRPr="00A41C78" w:rsidRDefault="00A41C78" w:rsidP="00A41C78">
      <w:pPr>
        <w:tabs>
          <w:tab w:val="clear" w:pos="709"/>
          <w:tab w:val="left" w:pos="8647"/>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bCs/>
          <w:kern w:val="0"/>
          <w:sz w:val="28"/>
          <w:szCs w:val="28"/>
          <w:lang w:val="uk-UA" w:eastAsia="uk-UA"/>
        </w:rPr>
        <w:t xml:space="preserve">Публікації. </w:t>
      </w:r>
      <w:r w:rsidRPr="00A41C78">
        <w:rPr>
          <w:rFonts w:ascii="Times New Roman" w:eastAsia="Times New Roman" w:hAnsi="Times New Roman" w:cs="Times New Roman"/>
          <w:kern w:val="0"/>
          <w:sz w:val="28"/>
          <w:szCs w:val="28"/>
          <w:lang w:val="uk-UA" w:eastAsia="uk-UA"/>
        </w:rPr>
        <w:t>Результати дисертаційного дослідження висвітлено у 14 публікаціях, з яких: 4 статті надруковано у фахових виданнях, затверджених ВАК України, 1 навчально-методичний посібник, підрозділ у колективній монографії.</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b/>
          <w:bCs/>
          <w:kern w:val="0"/>
          <w:sz w:val="28"/>
          <w:szCs w:val="28"/>
          <w:lang w:val="uk-UA" w:eastAsia="uk-UA"/>
        </w:rPr>
        <w:t>Структура та обсяг дисертації.</w:t>
      </w:r>
      <w:r w:rsidRPr="00A41C78">
        <w:rPr>
          <w:rFonts w:ascii="Times New Roman" w:eastAsia="Times New Roman" w:hAnsi="Times New Roman" w:cs="Times New Roman"/>
          <w:kern w:val="0"/>
          <w:sz w:val="28"/>
          <w:szCs w:val="28"/>
          <w:lang w:val="uk-UA" w:eastAsia="uk-UA"/>
        </w:rPr>
        <w:t xml:space="preserve"> Дисертаційна робота складається із вступу, трьох розділів, висновк</w:t>
      </w:r>
      <w:r w:rsidRPr="00A41C78">
        <w:rPr>
          <w:rFonts w:ascii="Times New Roman" w:eastAsia="Times New Roman" w:hAnsi="Times New Roman" w:cs="Times New Roman"/>
          <w:noProof/>
          <w:kern w:val="0"/>
          <w:sz w:val="28"/>
          <w:szCs w:val="28"/>
          <w:lang w:val="uk-UA" w:eastAsia="uk-UA"/>
        </w:rPr>
        <w:t xml:space="preserve">ів до розділів, </w:t>
      </w:r>
      <w:r w:rsidRPr="00A41C78">
        <w:rPr>
          <w:rFonts w:ascii="Times New Roman" w:eastAsia="Times New Roman" w:hAnsi="Times New Roman" w:cs="Times New Roman"/>
          <w:kern w:val="0"/>
          <w:sz w:val="28"/>
          <w:szCs w:val="28"/>
          <w:lang w:val="uk-UA" w:eastAsia="uk-UA"/>
        </w:rPr>
        <w:t>загальних висновків та списку використаних джерел (342 найменування), з них 16 – іноземною мовою, 82 – архівні справи. Загальний обсяг дисертації – 299 сторінок (основна частина – 18</w:t>
      </w:r>
      <w:r w:rsidRPr="00A41C78">
        <w:rPr>
          <w:rFonts w:ascii="Times New Roman" w:eastAsia="Times New Roman" w:hAnsi="Times New Roman" w:cs="Times New Roman"/>
          <w:kern w:val="0"/>
          <w:sz w:val="28"/>
          <w:szCs w:val="28"/>
          <w:lang w:eastAsia="uk-UA"/>
        </w:rPr>
        <w:t>0</w:t>
      </w:r>
      <w:r w:rsidRPr="00A41C78">
        <w:rPr>
          <w:rFonts w:ascii="Times New Roman" w:eastAsia="Times New Roman" w:hAnsi="Times New Roman" w:cs="Times New Roman"/>
          <w:kern w:val="0"/>
          <w:sz w:val="28"/>
          <w:szCs w:val="28"/>
          <w:lang w:val="uk-UA" w:eastAsia="uk-UA"/>
        </w:rPr>
        <w:t xml:space="preserve"> сторінок). Робота містить 21 таблицю, 1 рисунок та 42 додатки.</w:t>
      </w:r>
    </w:p>
    <w:p w:rsidR="007E5289" w:rsidRDefault="007E5289" w:rsidP="00A41C78"/>
    <w:p w:rsidR="00A41C78" w:rsidRDefault="00A41C78" w:rsidP="00A41C78"/>
    <w:p w:rsidR="00A41C78" w:rsidRDefault="00A41C78" w:rsidP="00A41C78"/>
    <w:p w:rsidR="00A41C78" w:rsidRDefault="00A41C78" w:rsidP="00A41C78"/>
    <w:p w:rsidR="00A41C78" w:rsidRPr="00A41C78" w:rsidRDefault="00A41C78" w:rsidP="00A41C78">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b/>
          <w:kern w:val="0"/>
          <w:sz w:val="28"/>
          <w:szCs w:val="28"/>
          <w:lang w:eastAsia="uk-UA"/>
        </w:rPr>
      </w:pPr>
      <w:r w:rsidRPr="00A41C78">
        <w:rPr>
          <w:rFonts w:ascii="Times New Roman" w:eastAsia="Times New Roman" w:hAnsi="Times New Roman" w:cs="Times New Roman"/>
          <w:b/>
          <w:kern w:val="0"/>
          <w:sz w:val="28"/>
          <w:szCs w:val="28"/>
          <w:lang w:val="uk-UA" w:eastAsia="uk-UA"/>
        </w:rPr>
        <w:t>ВИСНОВКИ</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Узагальнення результатів дисертаційного дослідження дає можливість зробити такі висновки:</w:t>
      </w:r>
    </w:p>
    <w:p w:rsidR="00A41C78" w:rsidRPr="00A41C78" w:rsidRDefault="00A41C78" w:rsidP="00A41C78">
      <w:pPr>
        <w:tabs>
          <w:tab w:val="clear" w:pos="709"/>
          <w:tab w:val="left" w:pos="8647"/>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1. Здійснений історіографічний аналіз засвідчив, що проблемі освіти на Волині на різних історичних етапах приділялася значна увага, що зумовило необхідність класифікації джерел. Представлено головні науково-методологічні підходи до освітньо-просвітницької діяльності іноземних педагогів на Волині (ХІХ – поч. ХХ ст.): проблемно-тематичний, джерелознавчий, територіальний, персоніфікований, а також історико-педагогічний регіоналізм.</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Подано категоріально-понятійний аналіз проблеми дослідження в контексті уточнення категорій «іноземний педагог», «освітня діяльність іноземних педагогів», «просвітницька діяльність іноземних педагогів», «освітньо-просвітницька діяльність іноземних педагогів на Волині». Поняття «іноземний педагог» визначено як: 1) освічений виходець з іншої держави, який у ХІХ – на початку ХХ століття займався освітньо-просвітницькою діяльністю на території Волині; 2) уродженець Речі Посполитої, який по закінченню вищого навчального закладу за кордоном працював на Волині. Доведено диференціацію понять «іноземний педагог» і «зарубіжний педагог». У результаті категоріально-понятійного аналізу проблеми, визначено освітньо-просвітницьку діяльність іноземних педагогів на Волині як вид професійно-педагогічної діяльності, спрямований на поширення освіти та оволодіння дітьми і молоддю знаннями у навчальних закладах та в умовах домашньої освіти у волинському регіоні.</w:t>
      </w:r>
    </w:p>
    <w:p w:rsidR="00A41C78" w:rsidRPr="00A41C78" w:rsidRDefault="00A41C78" w:rsidP="00A41C78">
      <w:pPr>
        <w:tabs>
          <w:tab w:val="clear" w:pos="709"/>
          <w:tab w:val="num" w:pos="1620"/>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 xml:space="preserve">2. Визначено історичні, соціально-політичні, соціально-економічні та соціокультурні передумови діяльності іноземних педагогів на Волині. До </w:t>
      </w:r>
      <w:r w:rsidRPr="00A41C78">
        <w:rPr>
          <w:rFonts w:ascii="Times New Roman" w:eastAsia="Times New Roman" w:hAnsi="Times New Roman" w:cs="Times New Roman"/>
          <w:i/>
          <w:kern w:val="0"/>
          <w:sz w:val="28"/>
          <w:szCs w:val="28"/>
          <w:lang w:val="uk-UA" w:eastAsia="uk-UA"/>
        </w:rPr>
        <w:t>історичних</w:t>
      </w:r>
      <w:r w:rsidRPr="00A41C78">
        <w:rPr>
          <w:rFonts w:ascii="Times New Roman" w:eastAsia="Times New Roman" w:hAnsi="Times New Roman" w:cs="Times New Roman"/>
          <w:kern w:val="0"/>
          <w:sz w:val="28"/>
          <w:szCs w:val="28"/>
          <w:lang w:val="uk-UA" w:eastAsia="uk-UA"/>
        </w:rPr>
        <w:t xml:space="preserve"> віднесено: територіальне положення Волині; історичні традиції полікультурності регіону; просвітницьку діяльність Острозької академії; політику колонізації, що полегшило в’їзд педагогів-іноземців на Волинь. </w:t>
      </w:r>
      <w:r w:rsidRPr="00A41C78">
        <w:rPr>
          <w:rFonts w:ascii="Times New Roman" w:eastAsia="Times New Roman" w:hAnsi="Times New Roman" w:cs="Times New Roman"/>
          <w:i/>
          <w:kern w:val="0"/>
          <w:sz w:val="28"/>
          <w:szCs w:val="28"/>
          <w:lang w:val="uk-UA" w:eastAsia="uk-UA"/>
        </w:rPr>
        <w:t>Соціально-політичною</w:t>
      </w:r>
      <w:r w:rsidRPr="00A41C78">
        <w:rPr>
          <w:rFonts w:ascii="Times New Roman" w:eastAsia="Times New Roman" w:hAnsi="Times New Roman" w:cs="Times New Roman"/>
          <w:kern w:val="0"/>
          <w:sz w:val="28"/>
          <w:szCs w:val="28"/>
          <w:lang w:val="uk-UA" w:eastAsia="uk-UA"/>
        </w:rPr>
        <w:t xml:space="preserve"> передумовою стало скасування кріпацтва (1861 р.); необхідність збереження політичного впливу великих етнічних груп, насамперед, поляків і німців; створення нормативно-правових засад освіти в Російській імперії, зокрема для освітньої діяльності педагогів-іноземців. </w:t>
      </w:r>
      <w:r w:rsidRPr="00A41C78">
        <w:rPr>
          <w:rFonts w:ascii="Times New Roman" w:eastAsia="Times New Roman" w:hAnsi="Times New Roman" w:cs="Times New Roman"/>
          <w:i/>
          <w:kern w:val="0"/>
          <w:sz w:val="28"/>
          <w:szCs w:val="28"/>
          <w:lang w:val="uk-UA" w:eastAsia="uk-UA"/>
        </w:rPr>
        <w:t>Соціально-економічними</w:t>
      </w:r>
      <w:r w:rsidRPr="00A41C78">
        <w:rPr>
          <w:rFonts w:ascii="Times New Roman" w:eastAsia="Times New Roman" w:hAnsi="Times New Roman" w:cs="Times New Roman"/>
          <w:kern w:val="0"/>
          <w:sz w:val="28"/>
          <w:szCs w:val="28"/>
          <w:lang w:val="uk-UA" w:eastAsia="uk-UA"/>
        </w:rPr>
        <w:t xml:space="preserve"> передумовами визначено: накопичення великих капіталів у заможного населення, що сприяло відкриттю навчальних закладів, розвитку доброчинної та меценатської діяльності. </w:t>
      </w:r>
      <w:r w:rsidRPr="00A41C78">
        <w:rPr>
          <w:rFonts w:ascii="Times New Roman" w:eastAsia="Times New Roman" w:hAnsi="Times New Roman" w:cs="Times New Roman"/>
          <w:i/>
          <w:kern w:val="0"/>
          <w:sz w:val="28"/>
          <w:szCs w:val="28"/>
          <w:lang w:val="uk-UA" w:eastAsia="uk-UA"/>
        </w:rPr>
        <w:t>Соціокультурні</w:t>
      </w:r>
      <w:r w:rsidRPr="00A41C78">
        <w:rPr>
          <w:rFonts w:ascii="Times New Roman" w:eastAsia="Times New Roman" w:hAnsi="Times New Roman" w:cs="Times New Roman"/>
          <w:kern w:val="0"/>
          <w:sz w:val="28"/>
          <w:szCs w:val="28"/>
          <w:lang w:val="uk-UA" w:eastAsia="uk-UA"/>
        </w:rPr>
        <w:t xml:space="preserve"> передумови характеризували необхідність збереження соціокультурного потенціалу місцевої еліти, що сприяло поширенню державної (вищої, середньої, початкової) та приватної освіти.</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 xml:space="preserve">3. Визначено головні </w:t>
      </w:r>
      <w:r w:rsidRPr="00A41C78">
        <w:rPr>
          <w:rFonts w:ascii="Times New Roman" w:eastAsia="Times New Roman" w:hAnsi="Times New Roman" w:cs="Times New Roman"/>
          <w:b/>
          <w:kern w:val="0"/>
          <w:sz w:val="28"/>
          <w:szCs w:val="28"/>
          <w:lang w:val="uk-UA" w:eastAsia="uk-UA"/>
        </w:rPr>
        <w:t>суперечності</w:t>
      </w:r>
      <w:r w:rsidRPr="00A41C78">
        <w:rPr>
          <w:rFonts w:ascii="Times New Roman" w:eastAsia="Times New Roman" w:hAnsi="Times New Roman" w:cs="Times New Roman"/>
          <w:kern w:val="0"/>
          <w:sz w:val="28"/>
          <w:szCs w:val="28"/>
          <w:lang w:val="uk-UA" w:eastAsia="uk-UA"/>
        </w:rPr>
        <w:t>, що виникали в ході діяльності іноземних педагогів на Волині між: потребою у високоосвічених дипломованих педагогах, які вільно володіли іноземними мовами та недостатнім кадровим забезпеченням навчальних закладів краю; соціальним запитом на навчання дітей з функціональними обмеженнями та відсутністю відповідних навчальних закладів у Російській імперії; потребою у гувернерах для задоволення освітніх запитів заможних сімей та відсутністю їх професійної підготовки у Російській імперії.</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 xml:space="preserve">Головними </w:t>
      </w:r>
      <w:r w:rsidRPr="00A41C78">
        <w:rPr>
          <w:rFonts w:ascii="Times New Roman" w:eastAsia="Times New Roman" w:hAnsi="Times New Roman" w:cs="Times New Roman"/>
          <w:b/>
          <w:kern w:val="0"/>
          <w:sz w:val="28"/>
          <w:szCs w:val="28"/>
          <w:lang w:val="uk-UA" w:eastAsia="uk-UA"/>
        </w:rPr>
        <w:t>тенденціями</w:t>
      </w:r>
      <w:r w:rsidRPr="00A41C78">
        <w:rPr>
          <w:rFonts w:ascii="Times New Roman" w:eastAsia="Times New Roman" w:hAnsi="Times New Roman" w:cs="Times New Roman"/>
          <w:kern w:val="0"/>
          <w:sz w:val="28"/>
          <w:szCs w:val="28"/>
          <w:lang w:val="uk-UA" w:eastAsia="uk-UA"/>
        </w:rPr>
        <w:t xml:space="preserve"> в діяльності іноземних педагогів на Волині у ХІХ – на початку ХХ століття вважаємо: поступове збільшення кількості іноземних педагогів до середини ХІХ століття; їх залучення до відкриття та діяльності базових навчальних закладів і закладів соціального захисту на Волині (Кременецький ліцей, гімназії у Житомирі, Рівному, Луцьку, Острозі, інститут для глухонімих дітей у Романові); запровадження інноваційних форм та методів навчання дітей у гімназіях та у сфері домашньої освіти; прагнення певної частини педагогів-іноземців забезпечити збереження етнокультурної ідентифікації етнічних меншин на Волині у досліджуваний період.</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 xml:space="preserve">На основі історіографічного аналізу діяльності іноземних педагогів на Волині нами визначено відповідні </w:t>
      </w:r>
      <w:r w:rsidRPr="00A41C78">
        <w:rPr>
          <w:rFonts w:ascii="Times New Roman" w:eastAsia="Times New Roman" w:hAnsi="Times New Roman" w:cs="Times New Roman"/>
          <w:b/>
          <w:kern w:val="0"/>
          <w:sz w:val="28"/>
          <w:szCs w:val="28"/>
          <w:lang w:val="uk-UA" w:eastAsia="uk-UA"/>
        </w:rPr>
        <w:t>етапи діяльності</w:t>
      </w:r>
      <w:r w:rsidRPr="00A41C78">
        <w:rPr>
          <w:rFonts w:ascii="Times New Roman" w:eastAsia="Times New Roman" w:hAnsi="Times New Roman" w:cs="Times New Roman"/>
          <w:kern w:val="0"/>
          <w:sz w:val="28"/>
          <w:szCs w:val="28"/>
          <w:lang w:val="uk-UA" w:eastAsia="uk-UA"/>
        </w:rPr>
        <w:t xml:space="preserve"> іноземних педагогів на Волині (ХІХ – поч. ХХ ст.): </w:t>
      </w:r>
    </w:p>
    <w:p w:rsidR="00A41C78" w:rsidRPr="00A41C78" w:rsidRDefault="00A41C78" w:rsidP="00A41C78">
      <w:pPr>
        <w:tabs>
          <w:tab w:val="clear" w:pos="709"/>
          <w:tab w:val="num" w:pos="1620"/>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І – етап (1805 – 1831) – становлення освітньо-просвітницької діяльності педагогів-іноземців на Волині, який характеризувався збільшенням їх кількості, що зумовлено потребою населення в освітніх послугах, зокрема еліти в якості навчання і виховання власних дітей у ситуації відсутності відповідних педагогічних кадрів.</w:t>
      </w:r>
    </w:p>
    <w:p w:rsidR="00A41C78" w:rsidRPr="00A41C78" w:rsidRDefault="00A41C78" w:rsidP="00A41C78">
      <w:pPr>
        <w:tabs>
          <w:tab w:val="clear" w:pos="709"/>
          <w:tab w:val="num" w:pos="1620"/>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ІІ – етап (1832 – 1861) – розширення змістових характеристик освітньо-просвітницької діяльності педагогів-іноземців на Волині, що знаменувався: поширенням вищої, середньої, початкової та приватної освіти; відкриттям першого спеціального навчального закладу для дітей з функціональними обмеженнями; спроби педагогів до надання практичного володіння загальними знаннями і навичками дітей та молоді.</w:t>
      </w:r>
    </w:p>
    <w:p w:rsidR="00A41C78" w:rsidRPr="00A41C78" w:rsidRDefault="00A41C78" w:rsidP="00A41C78">
      <w:pPr>
        <w:tabs>
          <w:tab w:val="clear" w:pos="709"/>
          <w:tab w:val="num" w:pos="1620"/>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ІІІ – етап (1862 – 1905) – інституалізації діяльності іноземних педагогів у волинському регіоні, який характеризується різнобічністю наукової діяльності, активними науковими пошуками, прагненням інтелігенції до володіння декількома мовами: німецькою та французькою, німецькою та англійською у контексті практичної відсутності високоосвічених, дипломованих педагогів у Російській імперії.</w:t>
      </w:r>
    </w:p>
    <w:p w:rsidR="00A41C78" w:rsidRPr="00A41C78" w:rsidRDefault="00A41C78" w:rsidP="00A41C78">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IV – етап (1906 – 1917) – обмеження сфери діяльності іноземних педагогів на Волині, який характеризується збільшенням кількості педагогів-випускників (університет св. Володимира, Севастопольське реальне училище, Рівненське реальне училище, Острозька вчительська семінарія, Кременецька духовна семінарія).</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 xml:space="preserve">4. Здійснення аналізу змісту та форм освітньо-просвітницької діяльності іноземних педагогів у навчальних закладах Волині у досліджуваний період дозволило дійти висновку про наявність як традиційних так новітніх форм і методів організації навчання, зумовлених можливістю опрацювання </w:t>
      </w:r>
      <w:r w:rsidRPr="00A41C78">
        <w:rPr>
          <w:rFonts w:ascii="Times New Roman" w:eastAsia="Times New Roman" w:hAnsi="Times New Roman" w:cs="Times New Roman"/>
          <w:kern w:val="0"/>
          <w:sz w:val="28"/>
          <w:szCs w:val="28"/>
          <w:lang w:val="uk-UA" w:eastAsia="uk-UA"/>
        </w:rPr>
        <w:tab/>
        <w:t>світової педагогічної й науково-методичної літератури, а також педагогічними поглядами відомих педагогів-іноземців.</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Доведено викладацьке та репетиторське значення діяльності іноземних педагогів у приватних освітніх установах на Волині. Виявлено тенденцію до зростання кількості іноземних педагогів на Волині, зокрема гувернерів на поч. ХІХ ст. З’ясовано, що протягом тривалого часу актуальними залишалися соціально-економічні та соціокультурні проблеми іноземного вчителя, що обмежувало коло їх діяльності – приватну домашню освіту на посадах домашнього наставника або гувернера.</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Окреслено визначну роль педагогів-іноземців у діяльності Кременецького ліцею, який підтвердив актуальність ідеї організації навчально-виховного процесу європейського рівня.</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За результатами історико-педагогічного дослідження розроблено спецкурс щодо практичного використання досвіду освітньо-просвітньої діяльності педагогів-іноземців на Волині у ХІХ – на початку ХХ століття, форм, методів організації навчально-виховного процесу зазначеного періоду. Підготовлено навчально-методичний посібник «Діяльність педагогів-іноземців на Волині (ХІХ – початок ХХ століття)». Результати дисертаційного дослідження можуть бути використані при викладанні курсу з історії педагогіки для студентів вищих навчальних закладів, при розробці відповідних спецкурсів для студентів, учителів і т. д.</w:t>
      </w:r>
    </w:p>
    <w:p w:rsidR="00A41C78" w:rsidRPr="00A41C78" w:rsidRDefault="00A41C78" w:rsidP="00A41C7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A41C78">
        <w:rPr>
          <w:rFonts w:ascii="Times New Roman" w:eastAsia="Times New Roman" w:hAnsi="Times New Roman" w:cs="Times New Roman"/>
          <w:kern w:val="0"/>
          <w:sz w:val="28"/>
          <w:szCs w:val="28"/>
          <w:lang w:val="uk-UA" w:eastAsia="uk-UA"/>
        </w:rPr>
        <w:t>Проведений у дисертаційному дослідженні цілісний науковий аналіз організаційно-педагогічних засад діяльності іноземних педагогів на Волині (ХІХ – початок ХХ століття) відкриває реальні можливості для нових історико-педагогічних розвідок. До подальших перспектив відносимо: історіографічне висвітлення методологічних і загальнотеоретичних засад освітньо-просвітницької діяльності як вітчизняних, так й іноземних педагогів Волині; здійснення аналізу законодавчого матеріалу з обґрунтуванням основних напрямів діяльності іноземних педагогів у навчальних установах.</w:t>
      </w:r>
    </w:p>
    <w:p w:rsidR="00A41C78" w:rsidRPr="00A41C78" w:rsidRDefault="00A41C78" w:rsidP="00A41C78">
      <w:pPr>
        <w:rPr>
          <w:lang w:val="uk-UA"/>
        </w:rPr>
      </w:pPr>
    </w:p>
    <w:sectPr w:rsidR="00A41C78" w:rsidRPr="00A41C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43" w:rsidRDefault="00783643">
      <w:pPr>
        <w:spacing w:after="0" w:line="240" w:lineRule="auto"/>
      </w:pPr>
      <w:r>
        <w:separator/>
      </w:r>
    </w:p>
  </w:endnote>
  <w:endnote w:type="continuationSeparator" w:id="0">
    <w:p w:rsidR="00783643" w:rsidRDefault="0078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3643" w:rsidRDefault="006647E8">
                <w:pPr>
                  <w:spacing w:line="240" w:lineRule="auto"/>
                </w:pPr>
                <w:fldSimple w:instr=" PAGE \* MERGEFORMAT ">
                  <w:r w:rsidR="0078364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3643" w:rsidRDefault="006647E8">
                <w:pPr>
                  <w:spacing w:line="240" w:lineRule="auto"/>
                </w:pPr>
                <w:fldSimple w:instr=" PAGE \* MERGEFORMAT ">
                  <w:r w:rsidR="00A41C78" w:rsidRPr="00A41C78">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43" w:rsidRDefault="00783643"/>
    <w:p w:rsidR="00783643" w:rsidRDefault="00783643"/>
    <w:p w:rsidR="00783643" w:rsidRDefault="00783643"/>
    <w:p w:rsidR="00783643" w:rsidRDefault="00783643"/>
    <w:p w:rsidR="00783643" w:rsidRDefault="00783643"/>
    <w:p w:rsidR="00783643" w:rsidRDefault="00783643"/>
    <w:p w:rsidR="00783643" w:rsidRDefault="006647E8">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3643" w:rsidRDefault="006647E8">
                  <w:pPr>
                    <w:spacing w:line="240" w:lineRule="auto"/>
                  </w:pPr>
                  <w:fldSimple w:instr=" PAGE \* MERGEFORMAT ">
                    <w:r w:rsidR="00783643" w:rsidRPr="00EA6EA6">
                      <w:rPr>
                        <w:rStyle w:val="afffff9"/>
                        <w:b w:val="0"/>
                        <w:bCs w:val="0"/>
                        <w:noProof/>
                      </w:rPr>
                      <w:t>7</w:t>
                    </w:r>
                  </w:fldSimple>
                </w:p>
              </w:txbxContent>
            </v:textbox>
            <w10:wrap anchorx="page" anchory="page"/>
          </v:shape>
        </w:pict>
      </w:r>
    </w:p>
    <w:p w:rsidR="00783643" w:rsidRDefault="00783643"/>
    <w:p w:rsidR="00783643" w:rsidRDefault="00783643"/>
    <w:p w:rsidR="00783643" w:rsidRDefault="006647E8">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3643" w:rsidRDefault="00783643"/>
                <w:p w:rsidR="00783643" w:rsidRDefault="006647E8">
                  <w:pPr>
                    <w:pStyle w:val="1ffffff7"/>
                    <w:spacing w:line="240" w:lineRule="auto"/>
                  </w:pPr>
                  <w:fldSimple w:instr=" PAGE \* MERGEFORMAT ">
                    <w:r w:rsidR="00783643" w:rsidRPr="00EA6EA6">
                      <w:rPr>
                        <w:rStyle w:val="3b"/>
                        <w:noProof/>
                      </w:rPr>
                      <w:t>7</w:t>
                    </w:r>
                  </w:fldSimple>
                </w:p>
              </w:txbxContent>
            </v:textbox>
            <w10:wrap anchorx="page" anchory="page"/>
          </v:shape>
        </w:pict>
      </w:r>
    </w:p>
    <w:p w:rsidR="00783643" w:rsidRDefault="00783643"/>
    <w:p w:rsidR="00783643" w:rsidRDefault="00783643">
      <w:pPr>
        <w:rPr>
          <w:sz w:val="2"/>
          <w:szCs w:val="2"/>
        </w:rPr>
      </w:pPr>
    </w:p>
    <w:p w:rsidR="00783643" w:rsidRDefault="00783643"/>
    <w:p w:rsidR="00783643" w:rsidRDefault="00783643">
      <w:pPr>
        <w:spacing w:after="0" w:line="240" w:lineRule="auto"/>
      </w:pPr>
    </w:p>
  </w:footnote>
  <w:footnote w:type="continuationSeparator" w:id="0">
    <w:p w:rsidR="00783643" w:rsidRDefault="00783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p w:rsidR="00783643" w:rsidRPr="005856C0" w:rsidRDefault="0078364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FFFFFFF"/>
    <w:lvl w:ilvl="0">
      <w:numFmt w:val="decimal"/>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3167C2"/>
    <w:multiLevelType w:val="hybridMultilevel"/>
    <w:tmpl w:val="B380E636"/>
    <w:lvl w:ilvl="0" w:tplc="DCFADDF2">
      <w:start w:val="4"/>
      <w:numFmt w:val="bullet"/>
      <w:lvlText w:val="-"/>
      <w:lvlJc w:val="left"/>
      <w:pPr>
        <w:tabs>
          <w:tab w:val="num" w:pos="360"/>
        </w:tabs>
        <w:ind w:left="340" w:hanging="340"/>
      </w:pPr>
      <w:rPr>
        <w:rFonts w:ascii="Times New Roman" w:eastAsia="Times New Roman" w:hAnsi="Times New Roman" w:cs="Times New Roman" w:hint="default"/>
      </w:rPr>
    </w:lvl>
    <w:lvl w:ilvl="1" w:tplc="B3241F30" w:tentative="1">
      <w:start w:val="1"/>
      <w:numFmt w:val="bullet"/>
      <w:lvlText w:val="o"/>
      <w:lvlJc w:val="left"/>
      <w:pPr>
        <w:tabs>
          <w:tab w:val="num" w:pos="1789"/>
        </w:tabs>
        <w:ind w:left="1789" w:hanging="360"/>
      </w:pPr>
      <w:rPr>
        <w:rFonts w:ascii="Courier New" w:hAnsi="Courier New" w:hint="default"/>
      </w:rPr>
    </w:lvl>
    <w:lvl w:ilvl="2" w:tplc="DDD4CED0" w:tentative="1">
      <w:start w:val="1"/>
      <w:numFmt w:val="bullet"/>
      <w:lvlText w:val=""/>
      <w:lvlJc w:val="left"/>
      <w:pPr>
        <w:tabs>
          <w:tab w:val="num" w:pos="2509"/>
        </w:tabs>
        <w:ind w:left="2509" w:hanging="360"/>
      </w:pPr>
      <w:rPr>
        <w:rFonts w:ascii="Wingdings" w:hAnsi="Wingdings" w:hint="default"/>
      </w:rPr>
    </w:lvl>
    <w:lvl w:ilvl="3" w:tplc="8132E6BA" w:tentative="1">
      <w:start w:val="1"/>
      <w:numFmt w:val="bullet"/>
      <w:lvlText w:val=""/>
      <w:lvlJc w:val="left"/>
      <w:pPr>
        <w:tabs>
          <w:tab w:val="num" w:pos="3229"/>
        </w:tabs>
        <w:ind w:left="3229" w:hanging="360"/>
      </w:pPr>
      <w:rPr>
        <w:rFonts w:ascii="Symbol" w:hAnsi="Symbol" w:hint="default"/>
      </w:rPr>
    </w:lvl>
    <w:lvl w:ilvl="4" w:tplc="3350E7B6" w:tentative="1">
      <w:start w:val="1"/>
      <w:numFmt w:val="bullet"/>
      <w:lvlText w:val="o"/>
      <w:lvlJc w:val="left"/>
      <w:pPr>
        <w:tabs>
          <w:tab w:val="num" w:pos="3949"/>
        </w:tabs>
        <w:ind w:left="3949" w:hanging="360"/>
      </w:pPr>
      <w:rPr>
        <w:rFonts w:ascii="Courier New" w:hAnsi="Courier New" w:hint="default"/>
      </w:rPr>
    </w:lvl>
    <w:lvl w:ilvl="5" w:tplc="D5941788" w:tentative="1">
      <w:start w:val="1"/>
      <w:numFmt w:val="bullet"/>
      <w:lvlText w:val=""/>
      <w:lvlJc w:val="left"/>
      <w:pPr>
        <w:tabs>
          <w:tab w:val="num" w:pos="4669"/>
        </w:tabs>
        <w:ind w:left="4669" w:hanging="360"/>
      </w:pPr>
      <w:rPr>
        <w:rFonts w:ascii="Wingdings" w:hAnsi="Wingdings" w:hint="default"/>
      </w:rPr>
    </w:lvl>
    <w:lvl w:ilvl="6" w:tplc="167C197E" w:tentative="1">
      <w:start w:val="1"/>
      <w:numFmt w:val="bullet"/>
      <w:lvlText w:val=""/>
      <w:lvlJc w:val="left"/>
      <w:pPr>
        <w:tabs>
          <w:tab w:val="num" w:pos="5389"/>
        </w:tabs>
        <w:ind w:left="5389" w:hanging="360"/>
      </w:pPr>
      <w:rPr>
        <w:rFonts w:ascii="Symbol" w:hAnsi="Symbol" w:hint="default"/>
      </w:rPr>
    </w:lvl>
    <w:lvl w:ilvl="7" w:tplc="81087C62" w:tentative="1">
      <w:start w:val="1"/>
      <w:numFmt w:val="bullet"/>
      <w:lvlText w:val="o"/>
      <w:lvlJc w:val="left"/>
      <w:pPr>
        <w:tabs>
          <w:tab w:val="num" w:pos="6109"/>
        </w:tabs>
        <w:ind w:left="6109" w:hanging="360"/>
      </w:pPr>
      <w:rPr>
        <w:rFonts w:ascii="Courier New" w:hAnsi="Courier New" w:hint="default"/>
      </w:rPr>
    </w:lvl>
    <w:lvl w:ilvl="8" w:tplc="4F26BE10" w:tentative="1">
      <w:start w:val="1"/>
      <w:numFmt w:val="bullet"/>
      <w:lvlText w:val=""/>
      <w:lvlJc w:val="left"/>
      <w:pPr>
        <w:tabs>
          <w:tab w:val="num" w:pos="6829"/>
        </w:tabs>
        <w:ind w:left="6829" w:hanging="360"/>
      </w:pPr>
      <w:rPr>
        <w:rFonts w:ascii="Wingdings" w:hAnsi="Wingdings" w:hint="default"/>
      </w:rPr>
    </w:lvl>
  </w:abstractNum>
  <w:abstractNum w:abstractNumId="78">
    <w:nsid w:val="0DB634AB"/>
    <w:multiLevelType w:val="hybridMultilevel"/>
    <w:tmpl w:val="7ECE453A"/>
    <w:lvl w:ilvl="0" w:tplc="80F821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4D73287"/>
    <w:multiLevelType w:val="hybridMultilevel"/>
    <w:tmpl w:val="019AB8F8"/>
    <w:lvl w:ilvl="0" w:tplc="FFFFFFFF">
      <w:start w:val="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3">
    <w:nsid w:val="169748E7"/>
    <w:multiLevelType w:val="multilevel"/>
    <w:tmpl w:val="0F5EC49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DFA44EE"/>
    <w:multiLevelType w:val="singleLevel"/>
    <w:tmpl w:val="3E8E502E"/>
    <w:lvl w:ilvl="0">
      <w:start w:val="8"/>
      <w:numFmt w:val="bullet"/>
      <w:lvlText w:val="-"/>
      <w:lvlJc w:val="left"/>
      <w:pPr>
        <w:tabs>
          <w:tab w:val="num" w:pos="360"/>
        </w:tabs>
        <w:ind w:left="360" w:hanging="360"/>
      </w:pPr>
      <w:rPr>
        <w:rFonts w:hint="default"/>
      </w:rPr>
    </w:lvl>
  </w:abstractNum>
  <w:abstractNum w:abstractNumId="86">
    <w:nsid w:val="21131B1E"/>
    <w:multiLevelType w:val="hybridMultilevel"/>
    <w:tmpl w:val="0CE64482"/>
    <w:lvl w:ilvl="0" w:tplc="76FE52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34AC76B4"/>
    <w:multiLevelType w:val="singleLevel"/>
    <w:tmpl w:val="3158793E"/>
    <w:lvl w:ilvl="0">
      <w:start w:val="5"/>
      <w:numFmt w:val="bullet"/>
      <w:lvlText w:val="-"/>
      <w:lvlJc w:val="left"/>
      <w:pPr>
        <w:tabs>
          <w:tab w:val="num" w:pos="1040"/>
        </w:tabs>
        <w:ind w:left="1040" w:hanging="360"/>
      </w:pPr>
      <w:rPr>
        <w:rFonts w:hint="default"/>
      </w:rPr>
    </w:lvl>
  </w:abstractNum>
  <w:abstractNum w:abstractNumId="89">
    <w:nsid w:val="37FF5EC3"/>
    <w:multiLevelType w:val="hybridMultilevel"/>
    <w:tmpl w:val="3EDE435E"/>
    <w:lvl w:ilvl="0" w:tplc="80F821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0">
    <w:nsid w:val="4213208F"/>
    <w:multiLevelType w:val="singleLevel"/>
    <w:tmpl w:val="7422A834"/>
    <w:lvl w:ilvl="0">
      <w:start w:val="7"/>
      <w:numFmt w:val="bullet"/>
      <w:lvlText w:val="-"/>
      <w:lvlJc w:val="left"/>
      <w:pPr>
        <w:tabs>
          <w:tab w:val="num" w:pos="390"/>
        </w:tabs>
        <w:ind w:left="390" w:hanging="390"/>
      </w:pPr>
      <w:rPr>
        <w:rFonts w:ascii="Times New Roman" w:hAnsi="Times New Roman" w:cs="Times New Roman" w:hint="default"/>
      </w:rPr>
    </w:lvl>
  </w:abstractNum>
  <w:abstractNum w:abstractNumId="91">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E11657"/>
    <w:multiLevelType w:val="hybridMultilevel"/>
    <w:tmpl w:val="7084F608"/>
    <w:lvl w:ilvl="0" w:tplc="80F821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3">
    <w:nsid w:val="4EC7781C"/>
    <w:multiLevelType w:val="multilevel"/>
    <w:tmpl w:val="3670E4C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5">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nsid w:val="56973948"/>
    <w:multiLevelType w:val="hybridMultilevel"/>
    <w:tmpl w:val="795E68A8"/>
    <w:lvl w:ilvl="0" w:tplc="FD5AF800">
      <w:start w:val="4"/>
      <w:numFmt w:val="bullet"/>
      <w:lvlText w:val="-"/>
      <w:lvlJc w:val="left"/>
      <w:pPr>
        <w:tabs>
          <w:tab w:val="num" w:pos="36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65857508"/>
    <w:multiLevelType w:val="hybridMultilevel"/>
    <w:tmpl w:val="021A2138"/>
    <w:lvl w:ilvl="0" w:tplc="80F8214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8">
    <w:nsid w:val="6857167D"/>
    <w:multiLevelType w:val="hybridMultilevel"/>
    <w:tmpl w:val="FECC8AA6"/>
    <w:lvl w:ilvl="0" w:tplc="E74A8A8E">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0">
    <w:nsid w:val="710B7D9D"/>
    <w:multiLevelType w:val="singleLevel"/>
    <w:tmpl w:val="95D0E624"/>
    <w:lvl w:ilvl="0">
      <w:start w:val="1"/>
      <w:numFmt w:val="decimal"/>
      <w:lvlText w:val="%1)"/>
      <w:lvlJc w:val="left"/>
      <w:pPr>
        <w:tabs>
          <w:tab w:val="num" w:pos="1040"/>
        </w:tabs>
        <w:ind w:left="1040" w:hanging="360"/>
      </w:pPr>
      <w:rPr>
        <w:rFont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89"/>
  </w:num>
  <w:num w:numId="8">
    <w:abstractNumId w:val="92"/>
  </w:num>
  <w:num w:numId="9">
    <w:abstractNumId w:val="78"/>
  </w:num>
  <w:num w:numId="10">
    <w:abstractNumId w:val="83"/>
  </w:num>
  <w:num w:numId="11">
    <w:abstractNumId w:val="85"/>
  </w:num>
  <w:num w:numId="12">
    <w:abstractNumId w:val="82"/>
  </w:num>
  <w:num w:numId="13">
    <w:abstractNumId w:val="77"/>
  </w:num>
  <w:num w:numId="14">
    <w:abstractNumId w:val="96"/>
  </w:num>
  <w:num w:numId="15">
    <w:abstractNumId w:val="93"/>
  </w:num>
  <w:num w:numId="16">
    <w:abstractNumId w:val="4"/>
    <w:lvlOverride w:ilvl="0">
      <w:lvl w:ilvl="0">
        <w:start w:val="1"/>
        <w:numFmt w:val="bullet"/>
        <w:lvlText w:val=""/>
        <w:legacy w:legacy="1" w:legacySpace="0" w:legacyIndent="283"/>
        <w:lvlJc w:val="left"/>
        <w:pPr>
          <w:ind w:left="963" w:hanging="283"/>
        </w:pPr>
        <w:rPr>
          <w:rFonts w:ascii="Symbol" w:hAnsi="Symbol" w:hint="default"/>
        </w:rPr>
      </w:lvl>
    </w:lvlOverride>
  </w:num>
  <w:num w:numId="17">
    <w:abstractNumId w:val="88"/>
  </w:num>
  <w:num w:numId="18">
    <w:abstractNumId w:val="100"/>
  </w:num>
  <w:num w:numId="19">
    <w:abstractNumId w:val="90"/>
  </w:num>
  <w:num w:numId="20">
    <w:abstractNumId w:val="98"/>
  </w:num>
  <w:num w:numId="21">
    <w:abstractNumId w:val="8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51F9D-63F0-4538-AC9A-5B2E7D5D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18</Pages>
  <Words>3894</Words>
  <Characters>22202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2021-11-11T17:50:00Z</dcterms:created>
  <dcterms:modified xsi:type="dcterms:W3CDTF">2021-11-14T10:59:00Z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