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9C546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Ямалетдинов Марсель Мусавирович. Обоснование конструктивной схемы и параметров комбинированного почвообрабатывающего орудия : диссертация ... кандидата технических наук : 05.20.01 / Ямалетдинов Марсель Мусавирович; [Место защиты: Башкир. гос. аграр. ун-т].- Уфа, 2010.- 181 с.: ил. РГБ ОД, 61 10-5/2193</w:t>
      </w:r>
    </w:p>
    <w:p w14:paraId="41C1DE3B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</w:p>
    <w:p w14:paraId="45774211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</w:p>
    <w:p w14:paraId="0B2E6EB4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ФЕДЕРАЛЬНОЕ ГОСУДАРСТВЕННОЕ ОБРАЗОВАТЕЛЬНОЕ УЧРЕЖДЕНИЕ ВЫСШЕГО ПРОФЕССИОНАЛЬНОГО ОБРАЗОВАНИЯ «БАШКИРСКИЙ ГОСУДАРСТВЕННЫЙ АГРАРНЫЙ УНИВЕРСИТЕТ»</w:t>
      </w:r>
    </w:p>
    <w:p w14:paraId="0F59B1C8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ЯМАЛЕТДИНОВ Марсель Мусавирович</w:t>
      </w:r>
    </w:p>
    <w:p w14:paraId="7F05F695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ОБОСНОВАНИЕ КОНСТРУКТИВНОЙ СХЕМЫ И ПАРАМЕТРОВ</w:t>
      </w:r>
    </w:p>
    <w:p w14:paraId="22D1A36C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КОМБИНИРОВАННОГО ПОЧВООБРАБАТЫВАЮЩЕГО ОРУДИЯ</w:t>
      </w:r>
    </w:p>
    <w:p w14:paraId="5F773249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Специальность 05.20.01 - Технологии и средства механизации</w:t>
      </w:r>
    </w:p>
    <w:p w14:paraId="7AD1025E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сельского хозяйства</w:t>
      </w:r>
    </w:p>
    <w:p w14:paraId="3F54C6E9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ДИССЕРТАЦИЯ</w:t>
      </w:r>
    </w:p>
    <w:p w14:paraId="325FAEBD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на соискание ученой степени кандидата технических наук</w:t>
      </w:r>
    </w:p>
    <w:p w14:paraId="1BBF5730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Научный руководитель - доктор технических наук, доцент С.Г. Мударисов</w:t>
      </w:r>
    </w:p>
    <w:p w14:paraId="16808DB4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Уфа-2010 </w:t>
      </w:r>
    </w:p>
    <w:p w14:paraId="5CC8EDE2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СОДЕРЖАНИЕ</w:t>
      </w:r>
    </w:p>
    <w:p w14:paraId="235AD97C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Введение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4</w:t>
      </w:r>
    </w:p>
    <w:p w14:paraId="6F56307A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1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Состояние вопроса, цель и задачи исследования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9</w:t>
      </w:r>
    </w:p>
    <w:p w14:paraId="588EAEA2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1.1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Тенденции развития машин для поверхностной обработки -почвы и</w:t>
      </w:r>
    </w:p>
    <w:p w14:paraId="74CE4F7F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требования к качеству выполнения технологического процесса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9</w:t>
      </w:r>
    </w:p>
    <w:p w14:paraId="29CCA264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1.2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Анализ конструкций комбинированных почвообрабатывающих ору¬дий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15</w:t>
      </w:r>
    </w:p>
    <w:p w14:paraId="2A7E957F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1.3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Анализ научных исследований по обоснованию конструкции</w:t>
      </w:r>
    </w:p>
    <w:p w14:paraId="5539E155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комбинированных почвообрабатывающих машин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23</w:t>
      </w:r>
    </w:p>
    <w:p w14:paraId="28865C90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1.4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Анализ моделей почвенной среды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27</w:t>
      </w:r>
    </w:p>
    <w:p w14:paraId="4599BC41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1.5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Цель, задачи исследований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39</w:t>
      </w:r>
    </w:p>
    <w:p w14:paraId="35D7EF71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lastRenderedPageBreak/>
        <w:t>2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Теоретические исследования взаимодействия рабочих органов с почвой 41</w:t>
      </w:r>
    </w:p>
    <w:p w14:paraId="3809961F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2.1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Модель процесса взаимодействия рабочего органа с почвой.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42</w:t>
      </w:r>
    </w:p>
    <w:p w14:paraId="62D0F575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2.1.1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Определение расчетной области, начальных и граничных условий мо¬дели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42</w:t>
      </w:r>
    </w:p>
    <w:p w14:paraId="05656D50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2.1.2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Численная реализация модели процесса взаимодействия рабочего</w:t>
      </w:r>
    </w:p>
    <w:p w14:paraId="1F1F4771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органа с почвенной средой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51</w:t>
      </w:r>
    </w:p>
    <w:p w14:paraId="0E04886E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2.2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Теоретическое обоснование конструктивной схемы и параметров орудия. 51</w:t>
      </w:r>
    </w:p>
    <w:p w14:paraId="5EF29749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2.2.1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Теоретическое обоснование компоновочной схемы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51</w:t>
      </w:r>
    </w:p>
    <w:p w14:paraId="1BA2B59F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2.2.2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Размещение лаповых рабочих органов на раме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58</w:t>
      </w:r>
    </w:p>
    <w:p w14:paraId="4C1E5008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2.2.3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Выбор взаимного расположения лаповых и дисковых рабочих</w:t>
      </w:r>
    </w:p>
    <w:p w14:paraId="41F11062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органов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-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63</w:t>
      </w:r>
    </w:p>
    <w:p w14:paraId="580E5265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2.2.4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Выбор рационального расположения дисковых рабочих органов на</w:t>
      </w:r>
    </w:p>
    <w:p w14:paraId="387BE1E1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раме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65</w:t>
      </w:r>
    </w:p>
    <w:p w14:paraId="039551E1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2.2.5. Выбор параметров прикатывающего катка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68</w:t>
      </w:r>
    </w:p>
    <w:p w14:paraId="1272CFC0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74</w:t>
      </w:r>
    </w:p>
    <w:p w14:paraId="5998B644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3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Методика экспериментальных исследований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76</w:t>
      </w:r>
    </w:p>
    <w:p w14:paraId="52952D69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3.1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Оценка условий проведения экспериментальных исследований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76</w:t>
      </w:r>
    </w:p>
    <w:p w14:paraId="3FFC05C3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3.2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Методика проведения энергетической оценки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78</w:t>
      </w:r>
    </w:p>
    <w:p w14:paraId="4275E3E7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3.3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Методика проведения агротехнической оценки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91</w:t>
      </w:r>
    </w:p>
    <w:p w14:paraId="3FB4FB7F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3.4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Методика обработки экспериментальных данных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95</w:t>
      </w:r>
    </w:p>
    <w:p w14:paraId="1D21042A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97</w:t>
      </w:r>
    </w:p>
    <w:p w14:paraId="16A98E9C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4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Результаты теоретических и экспериментальных исследований по обос¬</w:t>
      </w:r>
    </w:p>
    <w:p w14:paraId="01D0B7DD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нованию конструктивно-технологических параметров комбинированного 99 почвообрабатывающего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</w:p>
    <w:p w14:paraId="3F2A4DCF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4.1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Обоснование конструктивно-технологических параметров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лаповых 99</w:t>
      </w:r>
    </w:p>
    <w:p w14:paraId="54F7E4B4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lastRenderedPageBreak/>
        <w:t>рабочих органов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’.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: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•</w:t>
      </w:r>
    </w:p>
    <w:p w14:paraId="450DAA74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4.2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Обоснование конструктивно-технологических параметров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110</w:t>
      </w:r>
    </w:p>
    <w:p w14:paraId="3850EE8C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4.3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Обоснование параметров опорно-прикатывающего катка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118</w:t>
      </w:r>
    </w:p>
    <w:p w14:paraId="13DC3280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4.4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Результаты энергетической оценки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122</w:t>
      </w:r>
    </w:p>
    <w:p w14:paraId="018A107A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4.5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Результаты агротехнической оценки работы орудия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126</w:t>
      </w:r>
    </w:p>
    <w:p w14:paraId="28A6BFBC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129</w:t>
      </w:r>
    </w:p>
    <w:p w14:paraId="2016579B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5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Технико-экономическая эффективность внедрения комбинированного</w:t>
      </w:r>
    </w:p>
    <w:p w14:paraId="142B9F27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почвообрабатывающего орудия в производство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131</w:t>
      </w:r>
    </w:p>
    <w:p w14:paraId="68856216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Выводы по главе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138</w:t>
      </w:r>
    </w:p>
    <w:p w14:paraId="6010D00D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Общие выводы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;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>*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139</w:t>
      </w:r>
    </w:p>
    <w:p w14:paraId="000A7405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Список литературы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141</w:t>
      </w:r>
    </w:p>
    <w:p w14:paraId="2C118982" w14:textId="77777777" w:rsidR="00BB1278" w:rsidRPr="00BB1278" w:rsidRDefault="00BB1278" w:rsidP="00BB1278">
      <w:pPr>
        <w:rPr>
          <w:rFonts w:ascii="Times New Roman" w:hAnsi="Times New Roman" w:cs="Times New Roman"/>
          <w:noProof/>
          <w:sz w:val="26"/>
          <w:szCs w:val="26"/>
        </w:rPr>
      </w:pPr>
      <w:r w:rsidRPr="00BB1278">
        <w:rPr>
          <w:rFonts w:ascii="Times New Roman" w:hAnsi="Times New Roman" w:cs="Times New Roman"/>
          <w:noProof/>
          <w:sz w:val="26"/>
          <w:szCs w:val="26"/>
        </w:rPr>
        <w:t>Приложения</w:t>
      </w:r>
      <w:r w:rsidRPr="00BB1278">
        <w:rPr>
          <w:rFonts w:ascii="Times New Roman" w:hAnsi="Times New Roman" w:cs="Times New Roman"/>
          <w:noProof/>
          <w:sz w:val="26"/>
          <w:szCs w:val="26"/>
        </w:rPr>
        <w:tab/>
        <w:t xml:space="preserve"> 151 </w:t>
      </w:r>
    </w:p>
    <w:p w14:paraId="4D4CE912" w14:textId="18503361" w:rsidR="00BB1278" w:rsidRDefault="00BB1278" w:rsidP="00BB1278"/>
    <w:p w14:paraId="57CFC091" w14:textId="3772DDA9" w:rsidR="00BB1278" w:rsidRDefault="00BB1278" w:rsidP="00BB1278"/>
    <w:p w14:paraId="4CAE629A" w14:textId="59098F5A" w:rsidR="00BB1278" w:rsidRDefault="00BB1278" w:rsidP="00BB1278"/>
    <w:p w14:paraId="4B7EA6DC" w14:textId="77777777" w:rsidR="00BB1278" w:rsidRDefault="00BB1278" w:rsidP="00BB1278">
      <w:pPr>
        <w:pStyle w:val="910"/>
        <w:keepNext/>
        <w:keepLines/>
        <w:shd w:val="clear" w:color="auto" w:fill="auto"/>
        <w:spacing w:after="302" w:line="280" w:lineRule="exact"/>
        <w:ind w:left="3980"/>
      </w:pPr>
      <w:bookmarkStart w:id="0" w:name="bookmark55"/>
      <w:r>
        <w:rPr>
          <w:rStyle w:val="91"/>
          <w:b/>
          <w:bCs/>
          <w:color w:val="000000"/>
        </w:rPr>
        <w:t>ОБЩИЕ ВЫВОДЫ</w:t>
      </w:r>
      <w:bookmarkEnd w:id="0"/>
    </w:p>
    <w:p w14:paraId="54D41725" w14:textId="77777777" w:rsidR="00BB1278" w:rsidRDefault="00BB1278" w:rsidP="00C3543E">
      <w:pPr>
        <w:pStyle w:val="210"/>
        <w:numPr>
          <w:ilvl w:val="0"/>
          <w:numId w:val="2"/>
        </w:numPr>
        <w:shd w:val="clear" w:color="auto" w:fill="auto"/>
        <w:tabs>
          <w:tab w:val="left" w:pos="1109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Разработана математическая модель процесса взаимодействия рабо</w:t>
      </w:r>
      <w:r>
        <w:rPr>
          <w:rStyle w:val="21"/>
          <w:color w:val="000000"/>
        </w:rPr>
        <w:softHyphen/>
        <w:t>чих органов почвообрабатывающего орудия с почвой как система уравнений динамики почвенной среды с учетом физико-механических свойств (плот</w:t>
      </w:r>
      <w:r>
        <w:rPr>
          <w:rStyle w:val="21"/>
          <w:color w:val="000000"/>
        </w:rPr>
        <w:softHyphen/>
        <w:t>ность, вязкость, трение) и силы реакции неразрушенного пласта почвы. Ус</w:t>
      </w:r>
      <w:r>
        <w:rPr>
          <w:rStyle w:val="21"/>
          <w:color w:val="000000"/>
        </w:rPr>
        <w:softHyphen/>
        <w:t>тановлены начальные условия функционирования модели, связанные с физи</w:t>
      </w:r>
      <w:r>
        <w:rPr>
          <w:rStyle w:val="21"/>
          <w:color w:val="000000"/>
        </w:rPr>
        <w:softHyphen/>
        <w:t>ко-механическими свойствами почвенной среды, и граничные условия, свя</w:t>
      </w:r>
      <w:r>
        <w:rPr>
          <w:rStyle w:val="21"/>
          <w:color w:val="000000"/>
        </w:rPr>
        <w:softHyphen/>
        <w:t>занные с конструктивными параметрами рабочих органов и технологически</w:t>
      </w:r>
      <w:r>
        <w:rPr>
          <w:rStyle w:val="21"/>
          <w:color w:val="000000"/>
        </w:rPr>
        <w:softHyphen/>
        <w:t>ми параметрами процесса обработки. На основе разработанной модели уста</w:t>
      </w:r>
      <w:r>
        <w:rPr>
          <w:rStyle w:val="21"/>
          <w:color w:val="000000"/>
        </w:rPr>
        <w:softHyphen/>
        <w:t>новлены закономерности взаимодействия рабочих органов с почвой, движе</w:t>
      </w:r>
      <w:r>
        <w:rPr>
          <w:rStyle w:val="21"/>
          <w:color w:val="000000"/>
        </w:rPr>
        <w:softHyphen/>
        <w:t>ния почвы по рабочей поверхности и силовые характеристики.</w:t>
      </w:r>
    </w:p>
    <w:p w14:paraId="6788BC62" w14:textId="77777777" w:rsidR="00BB1278" w:rsidRDefault="00BB1278" w:rsidP="00C3543E">
      <w:pPr>
        <w:pStyle w:val="210"/>
        <w:numPr>
          <w:ilvl w:val="0"/>
          <w:numId w:val="2"/>
        </w:numPr>
        <w:shd w:val="clear" w:color="auto" w:fill="auto"/>
        <w:tabs>
          <w:tab w:val="left" w:pos="1109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Разработана технологическая схема комбинированного почвообра</w:t>
      </w:r>
      <w:r>
        <w:rPr>
          <w:rStyle w:val="21"/>
          <w:color w:val="000000"/>
        </w:rPr>
        <w:softHyphen/>
      </w:r>
      <w:r>
        <w:rPr>
          <w:rStyle w:val="21"/>
          <w:color w:val="000000"/>
        </w:rPr>
        <w:lastRenderedPageBreak/>
        <w:t>батывающего орудия для послойной предпосевной обработки почвы по стер</w:t>
      </w:r>
      <w:r>
        <w:rPr>
          <w:rStyle w:val="21"/>
          <w:color w:val="000000"/>
        </w:rPr>
        <w:softHyphen/>
        <w:t>невым и пахотным фонам, состоящего из трех рядов лаповых рабочих орга</w:t>
      </w:r>
      <w:r>
        <w:rPr>
          <w:rStyle w:val="21"/>
          <w:color w:val="000000"/>
        </w:rPr>
        <w:softHyphen/>
        <w:t>нов, дисковых рабочих органов, установленных за лапами в два ряда попарно встречно по следу каждой лапы с возможностью изменения угла атаки и опорно-прикатывающего катка (патент №2230445 РФ).</w:t>
      </w:r>
    </w:p>
    <w:p w14:paraId="03AFE28F" w14:textId="77777777" w:rsidR="00BB1278" w:rsidRDefault="00BB1278" w:rsidP="00C3543E">
      <w:pPr>
        <w:pStyle w:val="210"/>
        <w:numPr>
          <w:ilvl w:val="0"/>
          <w:numId w:val="2"/>
        </w:numPr>
        <w:shd w:val="clear" w:color="auto" w:fill="auto"/>
        <w:tabs>
          <w:tab w:val="left" w:pos="1109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Обоснованы по результатам теоретических и экспериментальных исследований конструктивно-технологические параметры комбинированно</w:t>
      </w:r>
      <w:r>
        <w:rPr>
          <w:rStyle w:val="21"/>
          <w:color w:val="000000"/>
        </w:rPr>
        <w:softHyphen/>
        <w:t>го почвообрабатывающего орудия:</w:t>
      </w:r>
    </w:p>
    <w:p w14:paraId="0D932B18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1013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расстояние между рядами лаповых рабочих органов - 600 мм;</w:t>
      </w:r>
    </w:p>
    <w:p w14:paraId="61E8F276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расстояние между стойками лап одного ряда — 810 мм;</w:t>
      </w:r>
    </w:p>
    <w:p w14:paraId="40AA824B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высота стойки лапы — 700 мм;</w:t>
      </w:r>
    </w:p>
    <w:p w14:paraId="68554086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968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расстояние между задними лапами и осью вращения дисков передне</w:t>
      </w:r>
      <w:r>
        <w:rPr>
          <w:rStyle w:val="21"/>
          <w:color w:val="000000"/>
        </w:rPr>
        <w:softHyphen/>
        <w:t>го ряда - 600 мм;</w:t>
      </w:r>
    </w:p>
    <w:p w14:paraId="2999473F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расстояние между рядами дисков - 700 мм;</w:t>
      </w:r>
    </w:p>
    <w:p w14:paraId="784F0B4F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1018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расстояние от оси вращения дисков заднего ряда до оси катка 700 мм.</w:t>
      </w:r>
    </w:p>
    <w:p w14:paraId="0B71C439" w14:textId="77777777" w:rsidR="00BB1278" w:rsidRDefault="00BB1278" w:rsidP="00C3543E">
      <w:pPr>
        <w:pStyle w:val="210"/>
        <w:numPr>
          <w:ilvl w:val="0"/>
          <w:numId w:val="2"/>
        </w:numPr>
        <w:shd w:val="clear" w:color="auto" w:fill="auto"/>
        <w:tabs>
          <w:tab w:val="left" w:pos="1109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Обоснованы по результатам теоретических и экспериментальных исследований конструктивно-технологические параметры рабочих органов комбинированного почвообрабатывающего орудия:</w:t>
      </w:r>
    </w:p>
    <w:p w14:paraId="26816F30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977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для лаповых рабочих органов: ширина захвата - 330 мм, угол кроше</w:t>
      </w:r>
      <w:r>
        <w:rPr>
          <w:rStyle w:val="21"/>
          <w:color w:val="000000"/>
        </w:rPr>
        <w:softHyphen/>
        <w:t>ния - 26°, угол раствора - 65°;</w:t>
      </w:r>
    </w:p>
    <w:p w14:paraId="4E934BEB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1002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для дисковых рабочих органов: диаметр - 450 мм, радиус кривизны -</w:t>
      </w:r>
    </w:p>
    <w:p w14:paraId="03D45B27" w14:textId="77777777" w:rsidR="00BB1278" w:rsidRDefault="00BB1278" w:rsidP="00BB1278">
      <w:pPr>
        <w:pStyle w:val="210"/>
        <w:shd w:val="clear" w:color="auto" w:fill="auto"/>
        <w:tabs>
          <w:tab w:val="left" w:leader="underscore" w:pos="2760"/>
        </w:tabs>
        <w:spacing w:line="480" w:lineRule="exact"/>
        <w:jc w:val="both"/>
      </w:pPr>
      <w:r>
        <w:rPr>
          <w:rStyle w:val="21"/>
          <w:color w:val="000000"/>
        </w:rPr>
        <w:t>1000 мм, диапазон регулирования угла атаки для типичных черноземов при влажности почвы 17</w:t>
      </w:r>
      <w:r>
        <w:rPr>
          <w:rStyle w:val="21"/>
          <w:color w:val="000000"/>
        </w:rPr>
        <w:tab/>
        <w:t>30% — 15...30°;</w:t>
      </w:r>
    </w:p>
    <w:p w14:paraId="04B9A669" w14:textId="77777777" w:rsidR="00BB1278" w:rsidRDefault="00BB1278" w:rsidP="00C3543E">
      <w:pPr>
        <w:pStyle w:val="210"/>
        <w:numPr>
          <w:ilvl w:val="0"/>
          <w:numId w:val="3"/>
        </w:numPr>
        <w:shd w:val="clear" w:color="auto" w:fill="auto"/>
        <w:tabs>
          <w:tab w:val="left" w:pos="977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 xml:space="preserve">для опорно-прикатывающего катка: диаметр — 400 мм, количество прутков -11, расстояние между прутками - 115 мм, диаметр прутков - 400 мм, </w:t>
      </w:r>
      <w:r>
        <w:rPr>
          <w:rStyle w:val="21"/>
          <w:color w:val="000000"/>
        </w:rPr>
        <w:lastRenderedPageBreak/>
        <w:t>угол наклона прутков относительно оси вращения 25°.</w:t>
      </w:r>
    </w:p>
    <w:p w14:paraId="6131C94F" w14:textId="77777777" w:rsidR="00BB1278" w:rsidRDefault="00BB1278" w:rsidP="00C3543E">
      <w:pPr>
        <w:pStyle w:val="210"/>
        <w:numPr>
          <w:ilvl w:val="0"/>
          <w:numId w:val="2"/>
        </w:numPr>
        <w:shd w:val="clear" w:color="auto" w:fill="auto"/>
        <w:tabs>
          <w:tab w:val="left" w:pos="1062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Установлены на основе экспериментальных исследований агротех</w:t>
      </w:r>
      <w:r>
        <w:rPr>
          <w:rStyle w:val="21"/>
          <w:color w:val="000000"/>
        </w:rPr>
        <w:softHyphen/>
        <w:t xml:space="preserve">нические показатели комбинированного почвообрабатывающего орудия с предложенными конструктивно-технологическими параметрами: степень крошения почвы - 80...85%; выравненность поверхности почвы - 2...4 см; выравненность дна борозды - 0,5... 1,0 см; отклонение глубины обработки от заданной - </w:t>
      </w:r>
      <w:proofErr w:type="gramStart"/>
      <w:r>
        <w:rPr>
          <w:rStyle w:val="21"/>
          <w:color w:val="000000"/>
        </w:rPr>
        <w:t>0,5,..</w:t>
      </w:r>
      <w:proofErr w:type="gramEnd"/>
      <w:r>
        <w:rPr>
          <w:rStyle w:val="21"/>
          <w:color w:val="000000"/>
        </w:rPr>
        <w:t xml:space="preserve"> 1,0 см.</w:t>
      </w:r>
    </w:p>
    <w:p w14:paraId="4E04BA42" w14:textId="77777777" w:rsidR="00BB1278" w:rsidRDefault="00BB1278" w:rsidP="00C3543E">
      <w:pPr>
        <w:pStyle w:val="210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>Определена экономическая эффективность технологического про</w:t>
      </w:r>
      <w:r>
        <w:rPr>
          <w:rStyle w:val="21"/>
          <w:color w:val="000000"/>
        </w:rPr>
        <w:softHyphen/>
        <w:t>цесса предпосевной обработки почвы. Применение комбинированного поч</w:t>
      </w:r>
      <w:r>
        <w:rPr>
          <w:rStyle w:val="21"/>
          <w:color w:val="000000"/>
        </w:rPr>
        <w:softHyphen/>
        <w:t>вообрабатывающего орудия позволяет повысить степень крошения, что обес</w:t>
      </w:r>
      <w:r>
        <w:rPr>
          <w:rStyle w:val="21"/>
          <w:color w:val="000000"/>
        </w:rPr>
        <w:softHyphen/>
        <w:t>печит прибавку урожайности зерновых культур на 5...7%, снизить на</w:t>
      </w:r>
    </w:p>
    <w:p w14:paraId="266A58A9" w14:textId="77777777" w:rsidR="00BB1278" w:rsidRDefault="00BB1278" w:rsidP="00C3543E">
      <w:pPr>
        <w:pStyle w:val="210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480" w:lineRule="exact"/>
        <w:jc w:val="both"/>
      </w:pPr>
      <w:r>
        <w:rPr>
          <w:rStyle w:val="21"/>
          <w:color w:val="000000"/>
        </w:rPr>
        <w:t>.30% эксплуатационные затраты по сравнению с традиционной техноло</w:t>
      </w:r>
      <w:r>
        <w:rPr>
          <w:rStyle w:val="21"/>
          <w:color w:val="000000"/>
        </w:rPr>
        <w:softHyphen/>
        <w:t>гией поверхностной (предпосевной) обработки почвы. Годовой экономиче</w:t>
      </w:r>
      <w:r>
        <w:rPr>
          <w:rStyle w:val="21"/>
          <w:color w:val="000000"/>
        </w:rPr>
        <w:softHyphen/>
        <w:t>ский эффект от внедрения предлагаемого орудия на предпосевной подготов</w:t>
      </w:r>
      <w:r>
        <w:rPr>
          <w:rStyle w:val="21"/>
          <w:color w:val="000000"/>
        </w:rPr>
        <w:softHyphen/>
        <w:t>ке почвы под зерновые культуры составляет до 304,92 руб./га, а срок окупае</w:t>
      </w:r>
      <w:r>
        <w:rPr>
          <w:rStyle w:val="21"/>
          <w:color w:val="000000"/>
        </w:rPr>
        <w:softHyphen/>
        <w:t>мости - 2 года.</w:t>
      </w:r>
    </w:p>
    <w:p w14:paraId="5ECD4EA1" w14:textId="77777777" w:rsidR="00BB1278" w:rsidRPr="00BB1278" w:rsidRDefault="00BB1278" w:rsidP="00BB1278"/>
    <w:sectPr w:rsidR="00BB1278" w:rsidRPr="00BB12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2D6B" w14:textId="77777777" w:rsidR="00C3543E" w:rsidRDefault="00C3543E">
      <w:pPr>
        <w:spacing w:after="0" w:line="240" w:lineRule="auto"/>
      </w:pPr>
      <w:r>
        <w:separator/>
      </w:r>
    </w:p>
  </w:endnote>
  <w:endnote w:type="continuationSeparator" w:id="0">
    <w:p w14:paraId="13964A8F" w14:textId="77777777" w:rsidR="00C3543E" w:rsidRDefault="00C3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26F7" w14:textId="77777777" w:rsidR="00C3543E" w:rsidRDefault="00C3543E">
      <w:pPr>
        <w:spacing w:after="0" w:line="240" w:lineRule="auto"/>
      </w:pPr>
      <w:r>
        <w:separator/>
      </w:r>
    </w:p>
  </w:footnote>
  <w:footnote w:type="continuationSeparator" w:id="0">
    <w:p w14:paraId="57081E45" w14:textId="77777777" w:rsidR="00C3543E" w:rsidRDefault="00C3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354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bullet"/>
      <w:lvlText w:val="-"/>
      <w:lvlJc w:val="left"/>
      <w:rPr>
        <w:rFonts w:ascii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1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1BF5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2F4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3ED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43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0F8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57408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10623</cp:revision>
  <dcterms:created xsi:type="dcterms:W3CDTF">2024-06-20T08:51:00Z</dcterms:created>
  <dcterms:modified xsi:type="dcterms:W3CDTF">2024-11-02T19:46:00Z</dcterms:modified>
  <cp:category/>
</cp:coreProperties>
</file>