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68C8" w14:textId="7C189E08" w:rsidR="0096167D" w:rsidRDefault="00860BED" w:rsidP="00860BED">
      <w:pPr>
        <w:rPr>
          <w:rFonts w:ascii="Verdana" w:hAnsi="Verdana"/>
          <w:b/>
          <w:bCs/>
          <w:color w:val="000000"/>
          <w:shd w:val="clear" w:color="auto" w:fill="FFFFFF"/>
        </w:rPr>
      </w:pPr>
      <w:r>
        <w:rPr>
          <w:rFonts w:ascii="Verdana" w:hAnsi="Verdana"/>
          <w:b/>
          <w:bCs/>
          <w:color w:val="000000"/>
          <w:shd w:val="clear" w:color="auto" w:fill="FFFFFF"/>
        </w:rPr>
        <w:t xml:space="preserve">Пономаренко Дмитро Вячеславович. Регулювання інвестиційної діяльності в корпоративному секторі економіки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0BED" w:rsidRPr="00860BED" w14:paraId="44BCAC73" w14:textId="77777777" w:rsidTr="00860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0BED" w:rsidRPr="00860BED" w14:paraId="19C062CC" w14:textId="77777777">
              <w:trPr>
                <w:tblCellSpacing w:w="0" w:type="dxa"/>
              </w:trPr>
              <w:tc>
                <w:tcPr>
                  <w:tcW w:w="0" w:type="auto"/>
                  <w:vAlign w:val="center"/>
                  <w:hideMark/>
                </w:tcPr>
                <w:p w14:paraId="25B1BF13"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b/>
                      <w:bCs/>
                      <w:sz w:val="24"/>
                      <w:szCs w:val="24"/>
                    </w:rPr>
                    <w:lastRenderedPageBreak/>
                    <w:t>Пономаренко Д.В. Регулювання інвестиційної діяльності в корпоративному секторі економіки. – Рукопис.</w:t>
                  </w:r>
                </w:p>
                <w:p w14:paraId="2EFC015D"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Інститут економіки промисловості НАН України, Донецьк, 2007.</w:t>
                  </w:r>
                </w:p>
                <w:p w14:paraId="14CD0EE0"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Дисертацію присвячено вирішенню актуальної наукової задачі регулювання інвестиційної діяльності в корпоративному секторі економіки, оскільки саме в цьому секторі формуються основні інвестиційні ресурси, які є важливим фактором економічного зростання. Досліджено інвестиційні можливості корпоративного сектору економіки. Виконано аналіз економіко-правових форм здійснення інвестиційної діяльності, визначено місце фінансового лізингу як форми інвестиційної діяльності, обґрунтовано його переваги та недоліки стосовно кожного з учасників лізингових відносин. Запропоновано економічний підхід до оцінки ефективності форм позичкового інвестування – фінансовий лізинг, товарний кредит, пряма форма кредитування, оснований на порівнянні грошових потоків з урахуванням вимог податкового законодавства. Обґрунтовано систему показників, які необхідні для прийняття конкретного інвестиційного рішення. Розроблено класифікацію інвестицій за видами, формами внесення, порядком розрахунків та оподаткування, роллю та правами інвестора, що дає можливість здійснювати системне регулювання інвестиційної діяльності за допомогою податкової політики держави, а також приймати виважене інвестиційне рішення на рівні підприємства. Надано пропозиції щодо оподаткування різних форм та видів внесення інвестицій, запропоновано врегулювання прискореної амортизації основних фондів, одержаних на умовах фінансового лізингу. Розроблено форму статистичної звітності, яка дозволяє комплексно відобразити результати інвестиційної діяльності підприємств корпоративного сектору економіки.</w:t>
                  </w:r>
                </w:p>
              </w:tc>
            </w:tr>
          </w:tbl>
          <w:p w14:paraId="049AE12A" w14:textId="77777777" w:rsidR="00860BED" w:rsidRPr="00860BED" w:rsidRDefault="00860BED" w:rsidP="00860BED">
            <w:pPr>
              <w:spacing w:after="0" w:line="240" w:lineRule="auto"/>
              <w:rPr>
                <w:rFonts w:ascii="Times New Roman" w:eastAsia="Times New Roman" w:hAnsi="Times New Roman" w:cs="Times New Roman"/>
                <w:sz w:val="24"/>
                <w:szCs w:val="24"/>
              </w:rPr>
            </w:pPr>
          </w:p>
        </w:tc>
      </w:tr>
      <w:tr w:rsidR="00860BED" w:rsidRPr="00860BED" w14:paraId="356BF3E9" w14:textId="77777777" w:rsidTr="00860BE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0BED" w:rsidRPr="00860BED" w14:paraId="5D806D24" w14:textId="77777777">
              <w:trPr>
                <w:tblCellSpacing w:w="0" w:type="dxa"/>
              </w:trPr>
              <w:tc>
                <w:tcPr>
                  <w:tcW w:w="0" w:type="auto"/>
                  <w:vAlign w:val="center"/>
                  <w:hideMark/>
                </w:tcPr>
                <w:p w14:paraId="1530875B"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Основна концепція проведеного дослідження полягає в розробці науково-методичних засад регулювання інвестиційної діяльності в корпоративному секторі економіки з урахуванням норм чинного законодавства. У дисертаційній роботі досліджено одну з найважливіших проблем сучасного етапу розвитку економіки – проблему податкового регулювання інвестиційних процесів. Проведене дослідження дозволило зробити такі теоретичні висновки та отримати практичні результати.</w:t>
                  </w:r>
                </w:p>
                <w:p w14:paraId="01C55DCB"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1. Становлення і розвиток корпоративних форм господарювання в Україні відбувалися в процесі корпоратизації та приватизації без проведення відкритої підписки на акції, що не дозволило залучити інвестиції для технічного переозброєння суб'єктів господарювання.</w:t>
                  </w:r>
                </w:p>
                <w:p w14:paraId="0BABDCE9"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2. Аналіз законодавчої бази, що регламентує корпоративні відносини в Україні, дозволив установити, що складовою частиною корпоративного управління є корпоративне право. Але реалізувати своє право власника акцій або часток у статутному фонді господарського товариства в Україні достатньо складно, оскільки акції більшості підприємств неліквідні. У цих умовах фондовий ринок не може вирішити завдання перерозподілу корпоративних прав, результатом якого була б активізація інвестиційних процесів.</w:t>
                  </w:r>
                </w:p>
                <w:p w14:paraId="5B4697E8"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 xml:space="preserve">3. В Україні відсутній механізм ефективного управління державною власністю. Встановлено, що на законодавчому рівні не врегульовано механізм залучення інвестицій на підприємства з державною часткою власності понад 50% плюс 1 акція. Запропоновано нормативне закріплення </w:t>
                  </w:r>
                  <w:r w:rsidRPr="00860BED">
                    <w:rPr>
                      <w:rFonts w:ascii="Times New Roman" w:eastAsia="Times New Roman" w:hAnsi="Times New Roman" w:cs="Times New Roman"/>
                      <w:sz w:val="24"/>
                      <w:szCs w:val="24"/>
                    </w:rPr>
                    <w:lastRenderedPageBreak/>
                    <w:t>механізму залучення інвестицій на підприємства з державною часткою власності залежно від її розміру та стратегічного значення підприємства.</w:t>
                  </w:r>
                </w:p>
                <w:p w14:paraId="3E3E9822"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4. Обґрунтовано такі організаційно-правові форми здійснення інвестиційної діяльності: внески до статутного фонду підприємства; придбання акцій та облігацій емітента, отримання векселя, передача на баланс підприємства товарно-матеріальних цінностей за договорами товарного кредиту та/або фінансового лізингу.</w:t>
                  </w:r>
                </w:p>
                <w:p w14:paraId="025F1A63"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5. Аналіз фінансового лізингу в динаміці дозволив виявити його переваги і недоліки стосовно кожного з учасників лізингових відносин – лізингодавця, лізингоодержувача, продавця та банку. Світова практика свідчить, що прискорений розвиток лізингових відносин можливий тільки за умови державної підтримки. Саме тому потребує врегулювання на законодавчому рівні прискорена амортизація основних фондів, що передаються у фінансовий лізинг, та лібералізація оподаткування ПДВ учасників лізингових операцій.</w:t>
                  </w:r>
                </w:p>
                <w:p w14:paraId="1583E6C3"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6. Запропоновано групи фінансових коефіцієнтів, які доцільно використовувати для експрес-аналізу за такими блоками: фінансовий стан підприємства; майновий стан підприємства; кредитоспроможність; рентабельність. Залежно від кількісного значення коефіцієнтів пропонується вибір конкретного інвестиційного рішення: при значеннях показників на рівні рекомендованих або кращих за них – можливе самоінвестування в поєднанні з короткостроковим кредитуванням та/або довгострокове кредитування; при значеннях показників гірше рекомендованих – можлива додаткова емісія акцій в акціонерних товариствах або збільшення частки у статутному фонді господарських товариств, які не є акціонерними.</w:t>
                  </w:r>
                </w:p>
                <w:p w14:paraId="0038936C"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7. Розроблено рекомендації з регулювання інвестиційної діяльності. Запропоновано класифікувати інвестиції за видами, формами їх вкладення, джерелами фінансування, порядком розрахунків, роллю та правами інвесторів. Порядок оподаткування інвестиційної діяльності здійснюється залежно від виду і форми внесення інвестицій з урахуванням вимог податкового законодавства. Надано пропозиції щодо вдосконалення порядку оподаткування різних видів і форм вкладення інвестицій шляхом його уніфікації та лібералізації, що дозволить створити ефективний податковий механізм стимулювання інвестиційної діяльності.</w:t>
                  </w:r>
                </w:p>
                <w:p w14:paraId="157C52C8" w14:textId="77777777" w:rsidR="00860BED" w:rsidRPr="00860BED" w:rsidRDefault="00860BED" w:rsidP="00860BE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0BED">
                    <w:rPr>
                      <w:rFonts w:ascii="Times New Roman" w:eastAsia="Times New Roman" w:hAnsi="Times New Roman" w:cs="Times New Roman"/>
                      <w:sz w:val="24"/>
                      <w:szCs w:val="24"/>
                    </w:rPr>
                    <w:t>8. Обґрунтовано, що різноманіття форм звітності, в яких дублюються окремі показники інвестиційної діяльності, а також відсутність системного підходу до статистичної звітності про інвестиційну діяльність підприємств не дозволяють комплексно відобразити результати інвестиційної діяльності. Для вирішення цієї проблеми розроблено рекомендації з комплексного відображення інвестиційної діяльності в статистичній звітності. Зокрема, запропоновано проект нової форми статистичної звітності, яку мають складати юридичні особи корпоративного сектору економіки незалежно від форми власності, організаційно-правового статусу та виду економічної діяльності.</w:t>
                  </w:r>
                </w:p>
              </w:tc>
            </w:tr>
          </w:tbl>
          <w:p w14:paraId="22E7E5E9" w14:textId="77777777" w:rsidR="00860BED" w:rsidRPr="00860BED" w:rsidRDefault="00860BED" w:rsidP="00860BED">
            <w:pPr>
              <w:spacing w:after="0" w:line="240" w:lineRule="auto"/>
              <w:rPr>
                <w:rFonts w:ascii="Times New Roman" w:eastAsia="Times New Roman" w:hAnsi="Times New Roman" w:cs="Times New Roman"/>
                <w:sz w:val="24"/>
                <w:szCs w:val="24"/>
              </w:rPr>
            </w:pPr>
          </w:p>
        </w:tc>
      </w:tr>
    </w:tbl>
    <w:p w14:paraId="44537ED7" w14:textId="77777777" w:rsidR="00860BED" w:rsidRPr="00860BED" w:rsidRDefault="00860BED" w:rsidP="00860BED"/>
    <w:sectPr w:rsidR="00860BED" w:rsidRPr="00860BE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04D1" w14:textId="77777777" w:rsidR="00F0646B" w:rsidRDefault="00F0646B">
      <w:pPr>
        <w:spacing w:after="0" w:line="240" w:lineRule="auto"/>
      </w:pPr>
      <w:r>
        <w:separator/>
      </w:r>
    </w:p>
  </w:endnote>
  <w:endnote w:type="continuationSeparator" w:id="0">
    <w:p w14:paraId="7E3FD2B5" w14:textId="77777777" w:rsidR="00F0646B" w:rsidRDefault="00F0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7A9F" w14:textId="77777777" w:rsidR="00F0646B" w:rsidRDefault="00F0646B">
      <w:pPr>
        <w:spacing w:after="0" w:line="240" w:lineRule="auto"/>
      </w:pPr>
      <w:r>
        <w:separator/>
      </w:r>
    </w:p>
  </w:footnote>
  <w:footnote w:type="continuationSeparator" w:id="0">
    <w:p w14:paraId="7D1B8BB8" w14:textId="77777777" w:rsidR="00F0646B" w:rsidRDefault="00F0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0646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7875"/>
    <w:multiLevelType w:val="multilevel"/>
    <w:tmpl w:val="0568D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066B3"/>
    <w:multiLevelType w:val="multilevel"/>
    <w:tmpl w:val="55B0BA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F4E75"/>
    <w:multiLevelType w:val="multilevel"/>
    <w:tmpl w:val="4E70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C1A21"/>
    <w:multiLevelType w:val="multilevel"/>
    <w:tmpl w:val="307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10AA9"/>
    <w:multiLevelType w:val="multilevel"/>
    <w:tmpl w:val="30FE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15396"/>
    <w:multiLevelType w:val="multilevel"/>
    <w:tmpl w:val="C87E3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F2928"/>
    <w:multiLevelType w:val="multilevel"/>
    <w:tmpl w:val="3978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B35425"/>
    <w:multiLevelType w:val="multilevel"/>
    <w:tmpl w:val="AD1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D0353"/>
    <w:multiLevelType w:val="multilevel"/>
    <w:tmpl w:val="56C4F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796912"/>
    <w:multiLevelType w:val="multilevel"/>
    <w:tmpl w:val="6CB6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F43E7"/>
    <w:multiLevelType w:val="multilevel"/>
    <w:tmpl w:val="6E42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0103E"/>
    <w:multiLevelType w:val="multilevel"/>
    <w:tmpl w:val="A0705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D94B7E"/>
    <w:multiLevelType w:val="multilevel"/>
    <w:tmpl w:val="D4AA3C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8C2A83"/>
    <w:multiLevelType w:val="multilevel"/>
    <w:tmpl w:val="55947C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E6DEB"/>
    <w:multiLevelType w:val="multilevel"/>
    <w:tmpl w:val="55BED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56016"/>
    <w:multiLevelType w:val="multilevel"/>
    <w:tmpl w:val="DDD4C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20E9A"/>
    <w:multiLevelType w:val="multilevel"/>
    <w:tmpl w:val="DD14C7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014B8"/>
    <w:multiLevelType w:val="multilevel"/>
    <w:tmpl w:val="14DE0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53C57"/>
    <w:multiLevelType w:val="multilevel"/>
    <w:tmpl w:val="1B14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E1068"/>
    <w:multiLevelType w:val="multilevel"/>
    <w:tmpl w:val="1EAA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217E5C"/>
    <w:multiLevelType w:val="multilevel"/>
    <w:tmpl w:val="B42231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84712"/>
    <w:multiLevelType w:val="multilevel"/>
    <w:tmpl w:val="5EEC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9D7ADE"/>
    <w:multiLevelType w:val="multilevel"/>
    <w:tmpl w:val="CFF4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0"/>
  </w:num>
  <w:num w:numId="4">
    <w:abstractNumId w:val="26"/>
  </w:num>
  <w:num w:numId="5">
    <w:abstractNumId w:val="0"/>
  </w:num>
  <w:num w:numId="6">
    <w:abstractNumId w:val="24"/>
  </w:num>
  <w:num w:numId="7">
    <w:abstractNumId w:val="23"/>
  </w:num>
  <w:num w:numId="8">
    <w:abstractNumId w:val="20"/>
  </w:num>
  <w:num w:numId="9">
    <w:abstractNumId w:val="19"/>
  </w:num>
  <w:num w:numId="10">
    <w:abstractNumId w:val="12"/>
  </w:num>
  <w:num w:numId="11">
    <w:abstractNumId w:val="21"/>
  </w:num>
  <w:num w:numId="12">
    <w:abstractNumId w:val="30"/>
  </w:num>
  <w:num w:numId="13">
    <w:abstractNumId w:val="1"/>
  </w:num>
  <w:num w:numId="14">
    <w:abstractNumId w:val="7"/>
  </w:num>
  <w:num w:numId="15">
    <w:abstractNumId w:val="8"/>
  </w:num>
  <w:num w:numId="16">
    <w:abstractNumId w:val="15"/>
  </w:num>
  <w:num w:numId="17">
    <w:abstractNumId w:val="18"/>
  </w:num>
  <w:num w:numId="18">
    <w:abstractNumId w:val="6"/>
  </w:num>
  <w:num w:numId="19">
    <w:abstractNumId w:val="5"/>
  </w:num>
  <w:num w:numId="20">
    <w:abstractNumId w:val="16"/>
  </w:num>
  <w:num w:numId="21">
    <w:abstractNumId w:val="27"/>
  </w:num>
  <w:num w:numId="22">
    <w:abstractNumId w:val="17"/>
  </w:num>
  <w:num w:numId="23">
    <w:abstractNumId w:val="14"/>
  </w:num>
  <w:num w:numId="24">
    <w:abstractNumId w:val="25"/>
  </w:num>
  <w:num w:numId="25">
    <w:abstractNumId w:val="2"/>
  </w:num>
  <w:num w:numId="26">
    <w:abstractNumId w:val="13"/>
  </w:num>
  <w:num w:numId="27">
    <w:abstractNumId w:val="29"/>
  </w:num>
  <w:num w:numId="28">
    <w:abstractNumId w:val="22"/>
  </w:num>
  <w:num w:numId="29">
    <w:abstractNumId w:val="9"/>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46B"/>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CA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96807</TotalTime>
  <Pages>3</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5653</cp:revision>
  <dcterms:created xsi:type="dcterms:W3CDTF">2024-06-20T08:51:00Z</dcterms:created>
  <dcterms:modified xsi:type="dcterms:W3CDTF">2024-10-04T20:56:00Z</dcterms:modified>
  <cp:category/>
</cp:coreProperties>
</file>