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3028A" w14:textId="77777777" w:rsidR="00050BAD" w:rsidRPr="00050BAD" w:rsidRDefault="00050BAD" w:rsidP="00050BAD">
      <w:pPr>
        <w:pStyle w:val="afffffffffffffffffffffffffff5"/>
        <w:rPr>
          <w:rFonts w:ascii="Verdana" w:hAnsi="Verdana"/>
          <w:color w:val="000000"/>
          <w:sz w:val="21"/>
          <w:szCs w:val="21"/>
          <w:lang w:val="en-US"/>
        </w:rPr>
      </w:pPr>
      <w:r>
        <w:rPr>
          <w:rFonts w:ascii="Helvetica" w:hAnsi="Helvetica" w:cs="Helvetica"/>
          <w:b/>
          <w:bCs w:val="0"/>
          <w:color w:val="222222"/>
          <w:sz w:val="21"/>
          <w:szCs w:val="21"/>
        </w:rPr>
        <w:t>Коаччи</w:t>
      </w:r>
      <w:r w:rsidRPr="00050BAD">
        <w:rPr>
          <w:rFonts w:ascii="Helvetica" w:hAnsi="Helvetica" w:cs="Helvetica"/>
          <w:b/>
          <w:bCs w:val="0"/>
          <w:color w:val="222222"/>
          <w:sz w:val="21"/>
          <w:szCs w:val="21"/>
          <w:lang w:val="en-US"/>
        </w:rPr>
        <w:t xml:space="preserve"> </w:t>
      </w:r>
      <w:r>
        <w:rPr>
          <w:rFonts w:ascii="Helvetica" w:hAnsi="Helvetica" w:cs="Helvetica"/>
          <w:b/>
          <w:bCs w:val="0"/>
          <w:color w:val="222222"/>
          <w:sz w:val="21"/>
          <w:szCs w:val="21"/>
        </w:rPr>
        <w:t>Фабио</w:t>
      </w:r>
      <w:r w:rsidRPr="00050BAD">
        <w:rPr>
          <w:rFonts w:ascii="Helvetica" w:hAnsi="Helvetica" w:cs="Helvetica"/>
          <w:b/>
          <w:bCs w:val="0"/>
          <w:color w:val="222222"/>
          <w:sz w:val="21"/>
          <w:szCs w:val="21"/>
          <w:lang w:val="en-US"/>
        </w:rPr>
        <w:t>.</w:t>
      </w:r>
    </w:p>
    <w:p w14:paraId="0475298D" w14:textId="77777777" w:rsidR="00050BAD" w:rsidRDefault="00050BAD" w:rsidP="00050BAD">
      <w:pPr>
        <w:pStyle w:val="20"/>
        <w:spacing w:before="0" w:after="312"/>
        <w:rPr>
          <w:rFonts w:ascii="Arial" w:hAnsi="Arial" w:cs="Arial"/>
          <w:caps/>
          <w:color w:val="333333"/>
          <w:sz w:val="27"/>
          <w:szCs w:val="27"/>
        </w:rPr>
      </w:pPr>
      <w:r>
        <w:rPr>
          <w:rFonts w:ascii="Helvetica" w:hAnsi="Helvetica" w:cs="Helvetica"/>
          <w:caps/>
          <w:color w:val="222222"/>
          <w:sz w:val="21"/>
          <w:szCs w:val="21"/>
        </w:rPr>
        <w:t>Универсализм</w:t>
      </w:r>
      <w:r w:rsidRPr="00050BAD">
        <w:rPr>
          <w:rFonts w:ascii="Helvetica" w:hAnsi="Helvetica" w:cs="Helvetica"/>
          <w:caps/>
          <w:color w:val="222222"/>
          <w:sz w:val="21"/>
          <w:szCs w:val="21"/>
          <w:lang w:val="en-US"/>
        </w:rPr>
        <w:t xml:space="preserve"> </w:t>
      </w:r>
      <w:r>
        <w:rPr>
          <w:rFonts w:ascii="Helvetica" w:hAnsi="Helvetica" w:cs="Helvetica"/>
          <w:caps/>
          <w:color w:val="222222"/>
          <w:sz w:val="21"/>
          <w:szCs w:val="21"/>
        </w:rPr>
        <w:t>основных</w:t>
      </w:r>
      <w:r w:rsidRPr="00050BAD">
        <w:rPr>
          <w:rFonts w:ascii="Helvetica" w:hAnsi="Helvetica" w:cs="Helvetica"/>
          <w:caps/>
          <w:color w:val="222222"/>
          <w:sz w:val="21"/>
          <w:szCs w:val="21"/>
          <w:lang w:val="en-US"/>
        </w:rPr>
        <w:t xml:space="preserve"> </w:t>
      </w:r>
      <w:r>
        <w:rPr>
          <w:rFonts w:ascii="Helvetica" w:hAnsi="Helvetica" w:cs="Helvetica"/>
          <w:caps/>
          <w:color w:val="222222"/>
          <w:sz w:val="21"/>
          <w:szCs w:val="21"/>
        </w:rPr>
        <w:t>прав</w:t>
      </w:r>
      <w:r w:rsidRPr="00050BAD">
        <w:rPr>
          <w:rFonts w:ascii="Helvetica" w:hAnsi="Helvetica" w:cs="Helvetica"/>
          <w:caps/>
          <w:color w:val="222222"/>
          <w:sz w:val="21"/>
          <w:szCs w:val="21"/>
          <w:lang w:val="en-US"/>
        </w:rPr>
        <w:t xml:space="preserve"> </w:t>
      </w:r>
      <w:r>
        <w:rPr>
          <w:rFonts w:ascii="Helvetica" w:hAnsi="Helvetica" w:cs="Helvetica"/>
          <w:caps/>
          <w:color w:val="222222"/>
          <w:sz w:val="21"/>
          <w:szCs w:val="21"/>
        </w:rPr>
        <w:t>человека</w:t>
      </w:r>
      <w:r w:rsidRPr="00050BAD">
        <w:rPr>
          <w:rFonts w:ascii="Helvetica" w:hAnsi="Helvetica" w:cs="Helvetica"/>
          <w:caps/>
          <w:color w:val="222222"/>
          <w:sz w:val="21"/>
          <w:szCs w:val="21"/>
          <w:lang w:val="en-US"/>
        </w:rPr>
        <w:t xml:space="preserve"> </w:t>
      </w:r>
      <w:r>
        <w:rPr>
          <w:rFonts w:ascii="Helvetica" w:hAnsi="Helvetica" w:cs="Helvetica"/>
          <w:caps/>
          <w:color w:val="222222"/>
          <w:sz w:val="21"/>
          <w:szCs w:val="21"/>
        </w:rPr>
        <w:t>и</w:t>
      </w:r>
      <w:r w:rsidRPr="00050BAD">
        <w:rPr>
          <w:rFonts w:ascii="Helvetica" w:hAnsi="Helvetica" w:cs="Helvetica"/>
          <w:caps/>
          <w:color w:val="222222"/>
          <w:sz w:val="21"/>
          <w:szCs w:val="21"/>
          <w:lang w:val="en-US"/>
        </w:rPr>
        <w:t xml:space="preserve"> </w:t>
      </w:r>
      <w:r>
        <w:rPr>
          <w:rFonts w:ascii="Helvetica" w:hAnsi="Helvetica" w:cs="Helvetica"/>
          <w:caps/>
          <w:color w:val="222222"/>
          <w:sz w:val="21"/>
          <w:szCs w:val="21"/>
        </w:rPr>
        <w:t>агентов</w:t>
      </w:r>
      <w:r w:rsidRPr="00050BAD">
        <w:rPr>
          <w:rFonts w:ascii="Helvetica" w:hAnsi="Helvetica" w:cs="Helvetica"/>
          <w:caps/>
          <w:color w:val="222222"/>
          <w:sz w:val="21"/>
          <w:szCs w:val="21"/>
          <w:lang w:val="en-US"/>
        </w:rPr>
        <w:t xml:space="preserve"> </w:t>
      </w:r>
      <w:r>
        <w:rPr>
          <w:rFonts w:ascii="Helvetica" w:hAnsi="Helvetica" w:cs="Helvetica"/>
          <w:caps/>
          <w:color w:val="222222"/>
          <w:sz w:val="21"/>
          <w:szCs w:val="21"/>
        </w:rPr>
        <w:t>мировой</w:t>
      </w:r>
      <w:r w:rsidRPr="00050BAD">
        <w:rPr>
          <w:rFonts w:ascii="Helvetica" w:hAnsi="Helvetica" w:cs="Helvetica"/>
          <w:caps/>
          <w:color w:val="222222"/>
          <w:sz w:val="21"/>
          <w:szCs w:val="21"/>
          <w:lang w:val="en-US"/>
        </w:rPr>
        <w:t xml:space="preserve"> </w:t>
      </w:r>
      <w:r>
        <w:rPr>
          <w:rFonts w:ascii="Helvetica" w:hAnsi="Helvetica" w:cs="Helvetica"/>
          <w:caps/>
          <w:color w:val="222222"/>
          <w:sz w:val="21"/>
          <w:szCs w:val="21"/>
        </w:rPr>
        <w:t>справедливости</w:t>
      </w:r>
      <w:r w:rsidRPr="00050BAD">
        <w:rPr>
          <w:rFonts w:ascii="Helvetica" w:hAnsi="Helvetica" w:cs="Helvetica"/>
          <w:caps/>
          <w:color w:val="222222"/>
          <w:sz w:val="21"/>
          <w:szCs w:val="21"/>
          <w:lang w:val="en-US"/>
        </w:rPr>
        <w:t xml:space="preserve"> = The Universalism of fundamental human rights and the agents of global justice : The Universalism of fundamental human rights and the agents of global justice : </w:t>
      </w:r>
      <w:r>
        <w:rPr>
          <w:rFonts w:ascii="Helvetica" w:hAnsi="Helvetica" w:cs="Helvetica"/>
          <w:caps/>
          <w:color w:val="222222"/>
          <w:sz w:val="21"/>
          <w:szCs w:val="21"/>
        </w:rPr>
        <w:t>диссертация</w:t>
      </w:r>
      <w:r w:rsidRPr="00050BAD">
        <w:rPr>
          <w:rFonts w:ascii="Helvetica" w:hAnsi="Helvetica" w:cs="Helvetica"/>
          <w:caps/>
          <w:color w:val="222222"/>
          <w:sz w:val="21"/>
          <w:szCs w:val="21"/>
          <w:lang w:val="en-US"/>
        </w:rPr>
        <w:t xml:space="preserve"> ... </w:t>
      </w:r>
      <w:r>
        <w:rPr>
          <w:rFonts w:ascii="Helvetica" w:hAnsi="Helvetica" w:cs="Helvetica"/>
          <w:caps/>
          <w:color w:val="222222"/>
          <w:sz w:val="21"/>
          <w:szCs w:val="21"/>
        </w:rPr>
        <w:t>кандидата политических наук : 23.00.01 / Коаччи Фабио; [Место защиты: ФГАОУ ВО «Московский государственный институт международных отношений (университет) Министерства иностранных дел Российской Федерации»]. - Москва, 2022. - 208 с.</w:t>
      </w:r>
    </w:p>
    <w:p w14:paraId="1DC7A94B" w14:textId="77777777" w:rsidR="00050BAD" w:rsidRDefault="00050BAD" w:rsidP="00050BA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Коаччи Фабио</w:t>
      </w:r>
    </w:p>
    <w:p w14:paraId="0FB65606"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Table of Contents</w:t>
      </w:r>
    </w:p>
    <w:p w14:paraId="610EEB5C"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Introduction</w:t>
      </w:r>
    </w:p>
    <w:p w14:paraId="146817B2"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Chapter I. The historical development of the concept of universal rights</w:t>
      </w:r>
    </w:p>
    <w:p w14:paraId="7861B105"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The roots of universal rights</w:t>
      </w:r>
    </w:p>
    <w:p w14:paraId="56D11735"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1.1.a De Vitoria's primordial universalism of natural rights</w:t>
      </w:r>
    </w:p>
    <w:p w14:paraId="2E7438FA"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1.1.b The validity of natural law etsi deus non daretur</w:t>
      </w:r>
    </w:p>
    <w:p w14:paraId="3BBA97CD" w14:textId="77777777" w:rsidR="00050BAD" w:rsidRPr="00050BAD" w:rsidRDefault="00050BAD" w:rsidP="00050BAD">
      <w:pPr>
        <w:pStyle w:val="afffffffffffffffffffffffffff5"/>
        <w:spacing w:before="0" w:beforeAutospacing="0" w:after="312" w:afterAutospacing="0"/>
        <w:rPr>
          <w:rFonts w:ascii="Arial" w:hAnsi="Arial" w:cs="Arial"/>
          <w:color w:val="333333"/>
          <w:sz w:val="21"/>
          <w:szCs w:val="21"/>
          <w:lang w:val="en-US"/>
        </w:rPr>
      </w:pPr>
      <w:r w:rsidRPr="00050BAD">
        <w:rPr>
          <w:rFonts w:ascii="Arial" w:hAnsi="Arial" w:cs="Arial"/>
          <w:color w:val="333333"/>
          <w:sz w:val="21"/>
          <w:szCs w:val="21"/>
          <w:lang w:val="en-US"/>
        </w:rPr>
        <w:t>1.1.c Natural rights as individual rights</w:t>
      </w:r>
    </w:p>
    <w:p w14:paraId="005E6A2B" w14:textId="77777777" w:rsidR="00050BAD" w:rsidRPr="00050BAD" w:rsidRDefault="00050BAD" w:rsidP="00050BAD">
      <w:pPr>
        <w:pStyle w:val="afffffffffffffffffffffffffff5"/>
        <w:spacing w:before="0" w:beforeAutospacing="0" w:after="312" w:afterAutospacing="0"/>
        <w:rPr>
          <w:rFonts w:ascii="Arial" w:hAnsi="Arial" w:cs="Arial"/>
          <w:color w:val="333333"/>
          <w:sz w:val="21"/>
          <w:szCs w:val="21"/>
          <w:lang w:val="en-US"/>
        </w:rPr>
      </w:pPr>
      <w:r w:rsidRPr="00050BAD">
        <w:rPr>
          <w:rFonts w:ascii="Arial" w:hAnsi="Arial" w:cs="Arial"/>
          <w:color w:val="333333"/>
          <w:sz w:val="21"/>
          <w:szCs w:val="21"/>
          <w:lang w:val="en-US"/>
        </w:rPr>
        <w:t>1.1.d The inalienability of fundamental natural rights</w:t>
      </w:r>
    </w:p>
    <w:p w14:paraId="411BAD2B" w14:textId="77777777" w:rsidR="00050BAD" w:rsidRPr="00050BAD" w:rsidRDefault="00050BAD" w:rsidP="00050BAD">
      <w:pPr>
        <w:pStyle w:val="afffffffffffffffffffffffffff5"/>
        <w:spacing w:before="0" w:beforeAutospacing="0" w:after="312" w:afterAutospacing="0"/>
        <w:rPr>
          <w:rFonts w:ascii="Arial" w:hAnsi="Arial" w:cs="Arial"/>
          <w:color w:val="333333"/>
          <w:sz w:val="21"/>
          <w:szCs w:val="21"/>
          <w:lang w:val="en-US"/>
        </w:rPr>
      </w:pPr>
      <w:r w:rsidRPr="00050BAD">
        <w:rPr>
          <w:rFonts w:ascii="Arial" w:hAnsi="Arial" w:cs="Arial"/>
          <w:color w:val="333333"/>
          <w:sz w:val="21"/>
          <w:szCs w:val="21"/>
          <w:lang w:val="en-US"/>
        </w:rPr>
        <w:t>1.1.e Natural law and rights as moral concerns</w:t>
      </w:r>
    </w:p>
    <w:p w14:paraId="5DCF1147" w14:textId="77777777" w:rsidR="00050BAD" w:rsidRPr="00050BAD" w:rsidRDefault="00050BAD" w:rsidP="00050BAD">
      <w:pPr>
        <w:pStyle w:val="afffffffffffffffffffffffffff5"/>
        <w:spacing w:before="0" w:beforeAutospacing="0" w:after="312" w:afterAutospacing="0"/>
        <w:rPr>
          <w:rFonts w:ascii="Arial" w:hAnsi="Arial" w:cs="Arial"/>
          <w:color w:val="333333"/>
          <w:sz w:val="21"/>
          <w:szCs w:val="21"/>
          <w:lang w:val="en-US"/>
        </w:rPr>
      </w:pPr>
      <w:r w:rsidRPr="00050BAD">
        <w:rPr>
          <w:rFonts w:ascii="Arial" w:hAnsi="Arial" w:cs="Arial"/>
          <w:color w:val="333333"/>
          <w:sz w:val="21"/>
          <w:szCs w:val="21"/>
          <w:lang w:val="en-US"/>
        </w:rPr>
        <w:t>1.1.f The particularistic universalism of the modern era</w:t>
      </w:r>
    </w:p>
    <w:p w14:paraId="6BD6C408" w14:textId="77777777" w:rsidR="00050BAD" w:rsidRPr="00050BAD" w:rsidRDefault="00050BAD" w:rsidP="00050BAD">
      <w:pPr>
        <w:pStyle w:val="afffffffffffffffffffffffffff5"/>
        <w:spacing w:before="0" w:beforeAutospacing="0" w:after="312" w:afterAutospacing="0"/>
        <w:rPr>
          <w:rFonts w:ascii="Arial" w:hAnsi="Arial" w:cs="Arial"/>
          <w:color w:val="333333"/>
          <w:sz w:val="21"/>
          <w:szCs w:val="21"/>
          <w:lang w:val="en-US"/>
        </w:rPr>
      </w:pPr>
      <w:r w:rsidRPr="00050BAD">
        <w:rPr>
          <w:rFonts w:ascii="Arial" w:hAnsi="Arial" w:cs="Arial"/>
          <w:color w:val="333333"/>
          <w:sz w:val="21"/>
          <w:szCs w:val="21"/>
          <w:lang w:val="en-US"/>
        </w:rPr>
        <w:t>1.2 The notion of right in the essay Perpetual Peace: A Philosophical Sketch</w:t>
      </w:r>
    </w:p>
    <w:p w14:paraId="292B4EAF" w14:textId="77777777" w:rsidR="00050BAD" w:rsidRPr="00050BAD" w:rsidRDefault="00050BAD" w:rsidP="00050BAD">
      <w:pPr>
        <w:pStyle w:val="afffffffffffffffffffffffffff5"/>
        <w:spacing w:before="0" w:beforeAutospacing="0" w:after="312" w:afterAutospacing="0"/>
        <w:rPr>
          <w:rFonts w:ascii="Arial" w:hAnsi="Arial" w:cs="Arial"/>
          <w:color w:val="333333"/>
          <w:sz w:val="21"/>
          <w:szCs w:val="21"/>
          <w:lang w:val="en-US"/>
        </w:rPr>
      </w:pPr>
      <w:r w:rsidRPr="00050BAD">
        <w:rPr>
          <w:rFonts w:ascii="Arial" w:hAnsi="Arial" w:cs="Arial"/>
          <w:color w:val="333333"/>
          <w:sz w:val="21"/>
          <w:szCs w:val="21"/>
          <w:lang w:val="en-US"/>
        </w:rPr>
        <w:t>1.3 An overall view on the contemporary theories on universal rights</w:t>
      </w:r>
    </w:p>
    <w:p w14:paraId="7D765913"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1.3.a A sketch of the contemporary conceptualizations of the notion of universal</w:t>
      </w:r>
    </w:p>
    <w:p w14:paraId="4044355F"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fundamental rights as moral rights</w:t>
      </w:r>
    </w:p>
    <w:p w14:paraId="13C066F0"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1.3.b Some approaches toward the universalism</w:t>
      </w:r>
    </w:p>
    <w:p w14:paraId="5739CE77"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Chapter II. The limitations of statism and cosmopolitanism</w:t>
      </w:r>
    </w:p>
    <w:p w14:paraId="5FB29DCB"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Global Justice and universal fundamental rights: a preliminary clarification</w:t>
      </w:r>
    </w:p>
    <w:p w14:paraId="625C6A88"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A broad empirical picture of contemporary global inequalities</w:t>
      </w:r>
    </w:p>
    <w:p w14:paraId="0E6FD1EE"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Statism and the 'absolutization' of associative duties</w:t>
      </w:r>
    </w:p>
    <w:p w14:paraId="72D547DD"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2.3.a The political and associativist conception ofjustice</w:t>
      </w:r>
    </w:p>
    <w:p w14:paraId="7B32D029"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2.3.b The national responsibility of particular injustices</w:t>
      </w:r>
    </w:p>
    <w:p w14:paraId="67689DDE"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2.3.c The limitations of the statist view</w:t>
      </w:r>
    </w:p>
    <w:p w14:paraId="337D39EC"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Cosmopolitanism and the chimera of a full-fledged global justice</w:t>
      </w:r>
    </w:p>
    <w:p w14:paraId="6623D844"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2.4.a Moral universalism and global socio-economic justice</w:t>
      </w:r>
    </w:p>
    <w:p w14:paraId="082C9820"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2.4.b The institutional cosmopolitan conception of human rights</w:t>
      </w:r>
    </w:p>
    <w:p w14:paraId="31D4BAEC"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2.4.c The limitations of the cosmopolitan view</w:t>
      </w:r>
    </w:p>
    <w:p w14:paraId="4913CB85"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Chapter III. Universal Fundamental rights and duties as a fair mean</w:t>
      </w:r>
    </w:p>
    <w:p w14:paraId="17739AB7"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A critical theory of social and political justice</w:t>
      </w:r>
    </w:p>
    <w:p w14:paraId="49031973"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The really basic right to reciprocal and general justification</w:t>
      </w:r>
    </w:p>
    <w:p w14:paraId="16F428BF"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The Aristotelian conception of distributive justice</w:t>
      </w:r>
    </w:p>
    <w:p w14:paraId="2FCBE44E"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The fair mean of universal fundamental rights</w:t>
      </w:r>
    </w:p>
    <w:p w14:paraId="3C0251AA"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A balanced approach to global justice and universal fundamental rights</w:t>
      </w:r>
    </w:p>
    <w:p w14:paraId="4003AB9E"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The process of balancing fundamental rights in the institutional response to the covid-19 pandemic: the right to life vis-à-vis liberty-rights</w:t>
      </w:r>
    </w:p>
    <w:p w14:paraId="67DBA377"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Chapter IV. The agents of global justice</w:t>
      </w:r>
    </w:p>
    <w:p w14:paraId="701AE89D"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The liability of different agents of global justice</w:t>
      </w:r>
    </w:p>
    <w:p w14:paraId="535ACDD0"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Actual and potential role of rising agents of global justice</w:t>
      </w:r>
    </w:p>
    <w:p w14:paraId="5D968B4A"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The global civic agency</w:t>
      </w:r>
    </w:p>
    <w:p w14:paraId="736A70D8"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4.3.a The case of the Permanent Peoples' tribunal</w:t>
      </w:r>
    </w:p>
    <w:p w14:paraId="5577FBF0"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4.3.b Few quasi-legal efforts to enforce fundamental rights in the global processes</w:t>
      </w:r>
    </w:p>
    <w:p w14:paraId="77090E8F"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An example of 'internationalization' of institutional practices: the cross-judicial fertilization</w:t>
      </w:r>
    </w:p>
    <w:p w14:paraId="31808520"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4.4.a The phenomenon of the cross-judicial fertilization</w:t>
      </w:r>
    </w:p>
    <w:p w14:paraId="2A7FFC29"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4.4.b The principles of legal adjudication of fundamental rights</w:t>
      </w:r>
    </w:p>
    <w:p w14:paraId="0AF97B14"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4.4.c The spread of the interpretation of the principle of proportionality through the cross-judicial fertilization</w:t>
      </w:r>
    </w:p>
    <w:p w14:paraId="1FF35B00"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Conclusion</w:t>
      </w:r>
    </w:p>
    <w:p w14:paraId="55F6D355" w14:textId="77777777" w:rsidR="00050BAD" w:rsidRDefault="00050BAD" w:rsidP="00050B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Bibliography</w:t>
      </w:r>
    </w:p>
    <w:p w14:paraId="40294F55" w14:textId="77777777" w:rsidR="00050BAD" w:rsidRPr="00050BAD" w:rsidRDefault="00050BAD" w:rsidP="00050BAD"/>
    <w:sectPr w:rsidR="00050BAD" w:rsidRPr="00050BA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1A860" w14:textId="77777777" w:rsidR="00D318A8" w:rsidRDefault="00D318A8">
      <w:pPr>
        <w:spacing w:after="0" w:line="240" w:lineRule="auto"/>
      </w:pPr>
      <w:r>
        <w:separator/>
      </w:r>
    </w:p>
  </w:endnote>
  <w:endnote w:type="continuationSeparator" w:id="0">
    <w:p w14:paraId="57B20F3C" w14:textId="77777777" w:rsidR="00D318A8" w:rsidRDefault="00D31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75CCA" w14:textId="77777777" w:rsidR="00D318A8" w:rsidRDefault="00D318A8"/>
    <w:p w14:paraId="504F8228" w14:textId="77777777" w:rsidR="00D318A8" w:rsidRDefault="00D318A8"/>
    <w:p w14:paraId="15410B08" w14:textId="77777777" w:rsidR="00D318A8" w:rsidRDefault="00D318A8"/>
    <w:p w14:paraId="7B50E4DB" w14:textId="77777777" w:rsidR="00D318A8" w:rsidRDefault="00D318A8"/>
    <w:p w14:paraId="6968932D" w14:textId="77777777" w:rsidR="00D318A8" w:rsidRDefault="00D318A8"/>
    <w:p w14:paraId="6BE31BA8" w14:textId="77777777" w:rsidR="00D318A8" w:rsidRDefault="00D318A8"/>
    <w:p w14:paraId="02A8F4F8" w14:textId="77777777" w:rsidR="00D318A8" w:rsidRDefault="00D318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9169D6" wp14:editId="529628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724ED" w14:textId="77777777" w:rsidR="00D318A8" w:rsidRDefault="00D318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9169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5724ED" w14:textId="77777777" w:rsidR="00D318A8" w:rsidRDefault="00D318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CA882A" w14:textId="77777777" w:rsidR="00D318A8" w:rsidRDefault="00D318A8"/>
    <w:p w14:paraId="42D68455" w14:textId="77777777" w:rsidR="00D318A8" w:rsidRDefault="00D318A8"/>
    <w:p w14:paraId="3A9F8FE3" w14:textId="77777777" w:rsidR="00D318A8" w:rsidRDefault="00D318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A1AC49" wp14:editId="065B59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7EEB1" w14:textId="77777777" w:rsidR="00D318A8" w:rsidRDefault="00D318A8"/>
                          <w:p w14:paraId="433CC74E" w14:textId="77777777" w:rsidR="00D318A8" w:rsidRDefault="00D318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A1AC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67EEB1" w14:textId="77777777" w:rsidR="00D318A8" w:rsidRDefault="00D318A8"/>
                    <w:p w14:paraId="433CC74E" w14:textId="77777777" w:rsidR="00D318A8" w:rsidRDefault="00D318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5FDD98" w14:textId="77777777" w:rsidR="00D318A8" w:rsidRDefault="00D318A8"/>
    <w:p w14:paraId="76C4D9CC" w14:textId="77777777" w:rsidR="00D318A8" w:rsidRDefault="00D318A8">
      <w:pPr>
        <w:rPr>
          <w:sz w:val="2"/>
          <w:szCs w:val="2"/>
        </w:rPr>
      </w:pPr>
    </w:p>
    <w:p w14:paraId="78E44F2E" w14:textId="77777777" w:rsidR="00D318A8" w:rsidRDefault="00D318A8"/>
    <w:p w14:paraId="69BEA373" w14:textId="77777777" w:rsidR="00D318A8" w:rsidRDefault="00D318A8">
      <w:pPr>
        <w:spacing w:after="0" w:line="240" w:lineRule="auto"/>
      </w:pPr>
    </w:p>
  </w:footnote>
  <w:footnote w:type="continuationSeparator" w:id="0">
    <w:p w14:paraId="1251D8CB" w14:textId="77777777" w:rsidR="00D318A8" w:rsidRDefault="00D31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A8"/>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80360</TotalTime>
  <Pages>3</Pages>
  <Words>474</Words>
  <Characters>2702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2684</cp:revision>
  <cp:lastPrinted>2009-02-06T05:36:00Z</cp:lastPrinted>
  <dcterms:created xsi:type="dcterms:W3CDTF">2024-01-07T13:43:00Z</dcterms:created>
  <dcterms:modified xsi:type="dcterms:W3CDTF">2025-04-24T09:00:00Z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