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0EB1" w14:textId="766736EC" w:rsidR="004131C4" w:rsidRDefault="00957CEE" w:rsidP="00957CEE">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Абедини Мохаммад Хосейн. Расторжение брака в Иранском праве</w:t>
      </w:r>
      <w:bookmarkEnd w:id="0"/>
      <w:r>
        <w:rPr>
          <w:rFonts w:ascii="Verdana" w:hAnsi="Verdana"/>
          <w:color w:val="000000"/>
          <w:sz w:val="18"/>
          <w:szCs w:val="18"/>
          <w:shd w:val="clear" w:color="auto" w:fill="FFFFFF"/>
        </w:rPr>
        <w:t>: диссертация ... кандидата юридических наук: 12.00.03 / Абедини Мохаммад Хосейн;[Место защиты: Таджикский национальный университет].- Душанбе, 2016.- 177 с.</w:t>
      </w:r>
    </w:p>
    <w:p w14:paraId="70B2E2C2" w14:textId="77777777" w:rsidR="00957CEE" w:rsidRDefault="00957CEE" w:rsidP="00957CEE">
      <w:pPr>
        <w:rPr>
          <w:rFonts w:ascii="Verdana" w:hAnsi="Verdana"/>
          <w:color w:val="000000"/>
          <w:sz w:val="18"/>
          <w:szCs w:val="18"/>
          <w:shd w:val="clear" w:color="auto" w:fill="FFFFFF"/>
        </w:rPr>
      </w:pPr>
    </w:p>
    <w:p w14:paraId="6639BA2F" w14:textId="77777777" w:rsidR="00957CEE" w:rsidRPr="00957CEE" w:rsidRDefault="00957CEE" w:rsidP="00957CEE">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957CEE">
        <w:rPr>
          <w:rFonts w:ascii="Verdana" w:eastAsia="Times New Roman" w:hAnsi="Verdana" w:cs="Times New Roman"/>
          <w:b/>
          <w:bCs/>
          <w:color w:val="AC370B"/>
          <w:kern w:val="0"/>
          <w:sz w:val="23"/>
          <w:szCs w:val="23"/>
          <w:lang w:eastAsia="ru-RU"/>
        </w:rPr>
        <w:t>Содержание к диссертации</w:t>
      </w:r>
    </w:p>
    <w:p w14:paraId="4FA88380"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Введение</w:t>
      </w:r>
    </w:p>
    <w:p w14:paraId="0EC9AAF5"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957CEE">
        <w:rPr>
          <w:rFonts w:ascii="Verdana" w:eastAsia="Times New Roman" w:hAnsi="Verdana" w:cs="Times New Roman"/>
          <w:b/>
          <w:bCs/>
          <w:color w:val="000000"/>
          <w:kern w:val="0"/>
          <w:sz w:val="18"/>
          <w:szCs w:val="18"/>
          <w:lang w:eastAsia="ru-RU"/>
        </w:rPr>
        <w:t>ГЛАВА 1. Правовая природа расторжения брака по законодательству исламской республики иран 13</w:t>
      </w:r>
    </w:p>
    <w:p w14:paraId="69B02A3B"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1.1. Исторические предпосылки возникновения и развития законодательства Ирана о расторжении брака 13</w:t>
      </w:r>
    </w:p>
    <w:p w14:paraId="2651003D"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1.2. Понятие расторжения брака и его правовая сущность 23</w:t>
      </w:r>
    </w:p>
    <w:p w14:paraId="0C82DFBB"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1.3. Отличие расторжения брака от признания брака недействительным 37</w:t>
      </w:r>
    </w:p>
    <w:p w14:paraId="13CDCBEC"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957CEE">
        <w:rPr>
          <w:rFonts w:ascii="Verdana" w:eastAsia="Times New Roman" w:hAnsi="Verdana" w:cs="Times New Roman"/>
          <w:b/>
          <w:bCs/>
          <w:color w:val="000000"/>
          <w:kern w:val="0"/>
          <w:sz w:val="18"/>
          <w:szCs w:val="18"/>
          <w:lang w:eastAsia="ru-RU"/>
        </w:rPr>
        <w:t>ГЛАВА 2. Особенности процедуры расторжения брака по законодательству ирана 54</w:t>
      </w:r>
    </w:p>
    <w:p w14:paraId="5914DF0B"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2.1. Причины и условия расторжения брака 54</w:t>
      </w:r>
    </w:p>
    <w:p w14:paraId="10BD9FB0"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2.2. Виды развода и порядок расторжения брака 80</w:t>
      </w:r>
    </w:p>
    <w:p w14:paraId="55A3CB9F"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2.3. Право на развод жены – как диспозитивное условие брачного договора 93</w:t>
      </w:r>
    </w:p>
    <w:p w14:paraId="07C784CE"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2.4. Особенности расторжения брака граждан Ирана за рубежом 115</w:t>
      </w:r>
    </w:p>
    <w:p w14:paraId="0C3E97D9"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2.5. Правовые последствия расторжения брака 122</w:t>
      </w:r>
    </w:p>
    <w:p w14:paraId="58541E79"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957CEE">
        <w:rPr>
          <w:rFonts w:ascii="Verdana" w:eastAsia="Times New Roman" w:hAnsi="Verdana" w:cs="Times New Roman"/>
          <w:b/>
          <w:bCs/>
          <w:color w:val="000000"/>
          <w:kern w:val="0"/>
          <w:sz w:val="18"/>
          <w:szCs w:val="18"/>
          <w:lang w:eastAsia="ru-RU"/>
        </w:rPr>
        <w:t>ГЛАВА 3. Сравнительно-правовой анализ законодательства ирана и таджикистана о расторжении брака 131</w:t>
      </w:r>
    </w:p>
    <w:p w14:paraId="2E21DC1A"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3.1. Правовое регулирование развода в Исламской Республике Иран и Республике Таджикистан 131</w:t>
      </w:r>
    </w:p>
    <w:p w14:paraId="6405AA9C"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3.2. Особенности процедуры развода в Исламской Республике Иран и Республике Таджикистан 143</w:t>
      </w:r>
    </w:p>
    <w:p w14:paraId="486F025B"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3.3. Пути преодоления расторжения брака и роль права в укреплении семьи 155</w:t>
      </w:r>
    </w:p>
    <w:p w14:paraId="65BA352C"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Заключение 160</w:t>
      </w:r>
    </w:p>
    <w:p w14:paraId="3396CA34" w14:textId="77777777" w:rsidR="00957CEE" w:rsidRPr="00957CEE" w:rsidRDefault="00957CEE" w:rsidP="00957CE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957CEE">
        <w:rPr>
          <w:rFonts w:ascii="Verdana" w:eastAsia="Times New Roman" w:hAnsi="Verdana" w:cs="Times New Roman"/>
          <w:color w:val="000000"/>
          <w:kern w:val="0"/>
          <w:sz w:val="18"/>
          <w:szCs w:val="18"/>
          <w:lang w:eastAsia="ru-RU"/>
        </w:rPr>
        <w:t>Список использованных источников</w:t>
      </w:r>
    </w:p>
    <w:p w14:paraId="19B22364" w14:textId="77777777" w:rsidR="00957CEE" w:rsidRDefault="00957CEE" w:rsidP="00957CEE"/>
    <w:p w14:paraId="3AD7F1FA" w14:textId="77777777" w:rsidR="00957CEE" w:rsidRDefault="00957CEE" w:rsidP="00957CEE"/>
    <w:p w14:paraId="096AC96F" w14:textId="77777777" w:rsidR="00957CEE" w:rsidRDefault="00957CEE" w:rsidP="00957CEE"/>
    <w:p w14:paraId="30D11407" w14:textId="77777777" w:rsidR="00957CEE" w:rsidRDefault="00957CEE" w:rsidP="00957CEE">
      <w:pPr>
        <w:pBdr>
          <w:bottom w:val="single" w:sz="6" w:space="4" w:color="8E8D8D"/>
        </w:pBdr>
        <w:shd w:val="clear" w:color="auto" w:fill="FFFFFF"/>
        <w:spacing w:after="0" w:line="240" w:lineRule="atLeast"/>
        <w:rPr>
          <w:rFonts w:ascii="Verdana" w:hAnsi="Verdana"/>
          <w:b/>
          <w:bCs/>
          <w:color w:val="AC370B"/>
          <w:kern w:val="0"/>
          <w:sz w:val="23"/>
          <w:szCs w:val="23"/>
          <w:lang w:eastAsia="ru-RU"/>
        </w:rPr>
      </w:pPr>
      <w:r>
        <w:rPr>
          <w:rFonts w:ascii="Verdana" w:hAnsi="Verdana"/>
          <w:b/>
          <w:bCs/>
          <w:color w:val="AC370B"/>
          <w:sz w:val="23"/>
          <w:szCs w:val="23"/>
        </w:rPr>
        <w:t>Введение к работе</w:t>
      </w:r>
    </w:p>
    <w:p w14:paraId="5FFA0DE8" w14:textId="77777777" w:rsidR="00957CEE" w:rsidRDefault="00957CEE" w:rsidP="00957CEE">
      <w:pPr>
        <w:pStyle w:val="afffffffffffffffffffffffffff6"/>
        <w:shd w:val="clear" w:color="auto" w:fill="FFFFFF"/>
        <w:rPr>
          <w:rFonts w:ascii="Verdana" w:hAnsi="Verdana"/>
          <w:bCs w:val="0"/>
          <w:color w:val="000000"/>
          <w:sz w:val="18"/>
          <w:szCs w:val="18"/>
        </w:rPr>
      </w:pPr>
      <w:r>
        <w:rPr>
          <w:rStyle w:val="af2"/>
          <w:rFonts w:ascii="Verdana" w:hAnsi="Verdana"/>
          <w:color w:val="000000"/>
          <w:sz w:val="18"/>
          <w:szCs w:val="18"/>
        </w:rPr>
        <w:t>Актуальность темы исследования</w:t>
      </w:r>
      <w:r>
        <w:rPr>
          <w:rStyle w:val="apple-converted-space"/>
          <w:rFonts w:ascii="Verdana" w:hAnsi="Verdana"/>
          <w:color w:val="000000"/>
          <w:sz w:val="18"/>
          <w:szCs w:val="18"/>
        </w:rPr>
        <w:t> </w:t>
      </w:r>
      <w:r>
        <w:rPr>
          <w:rFonts w:ascii="Verdana" w:hAnsi="Verdana"/>
          <w:color w:val="000000"/>
          <w:sz w:val="18"/>
          <w:szCs w:val="18"/>
        </w:rPr>
        <w:t>обуславливается уникальностью</w:t>
      </w:r>
    </w:p>
    <w:p w14:paraId="16F4746C"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правовой системы Исламской Республики Иран, законодательство которой</w:t>
      </w:r>
    </w:p>
    <w:p w14:paraId="3B22FF5E"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основано на мусульманских принципах. Гражданское право Ирана,</w:t>
      </w:r>
    </w:p>
    <w:p w14:paraId="48AB9276"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«представляющее собой систему таких юридических правил внешнего</w:t>
      </w:r>
    </w:p>
    <w:p w14:paraId="791EA67C"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поведения, которые одновременно являются частью фикха – доктринального</w:t>
      </w:r>
    </w:p>
    <w:p w14:paraId="27E5D94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осмысления шариата, являющегося воплощением религиозно-этических</w:t>
      </w:r>
    </w:p>
    <w:p w14:paraId="37CD9146"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постулатов ислама</w:t>
      </w:r>
      <w:r>
        <w:rPr>
          <w:rFonts w:ascii="Verdana" w:hAnsi="Verdana"/>
          <w:color w:val="000000"/>
          <w:sz w:val="18"/>
          <w:szCs w:val="18"/>
          <w:vertAlign w:val="superscript"/>
        </w:rPr>
        <w:t>1</w:t>
      </w:r>
      <w:r>
        <w:rPr>
          <w:rFonts w:ascii="Verdana" w:hAnsi="Verdana"/>
          <w:color w:val="000000"/>
          <w:sz w:val="18"/>
          <w:szCs w:val="18"/>
        </w:rPr>
        <w:t>», основывается на джафаритской школе его толкования.</w:t>
      </w:r>
    </w:p>
    <w:p w14:paraId="644AF668"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Специфичность Ирана обуславливается оказываемым длительное время</w:t>
      </w:r>
    </w:p>
    <w:p w14:paraId="2ADBD4AA"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влиянием Европы, в частности, Франции на существовавшие общественные</w:t>
      </w:r>
    </w:p>
    <w:p w14:paraId="4E7A5247"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отношения, в том числе правовые. Исламская Республика Иран является</w:t>
      </w:r>
    </w:p>
    <w:p w14:paraId="45B34370"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особенной в силу языковой и исторической обособленности от других стран</w:t>
      </w:r>
    </w:p>
    <w:p w14:paraId="092EEAC5"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Ближнего Востока</w:t>
      </w:r>
      <w:r>
        <w:rPr>
          <w:rFonts w:ascii="Verdana" w:hAnsi="Verdana"/>
          <w:color w:val="000000"/>
          <w:sz w:val="18"/>
          <w:szCs w:val="18"/>
          <w:vertAlign w:val="superscript"/>
        </w:rPr>
        <w:t>2</w:t>
      </w:r>
      <w:r>
        <w:rPr>
          <w:rFonts w:ascii="Verdana" w:hAnsi="Verdana"/>
          <w:color w:val="000000"/>
          <w:sz w:val="18"/>
          <w:szCs w:val="18"/>
        </w:rPr>
        <w:t>. В силу этого справедливо привести слова К. Маркса,</w:t>
      </w:r>
    </w:p>
    <w:p w14:paraId="67F13B31"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отмечавшего, что: «Кто хочет на место Корана поставить Code civille, тот должен</w:t>
      </w:r>
    </w:p>
    <w:p w14:paraId="2C78A66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построить все здания византийского общества по западно-европейскому образцу</w:t>
      </w:r>
      <w:r>
        <w:rPr>
          <w:rFonts w:ascii="Verdana" w:hAnsi="Verdana"/>
          <w:color w:val="000000"/>
          <w:sz w:val="18"/>
          <w:szCs w:val="18"/>
          <w:vertAlign w:val="superscript"/>
        </w:rPr>
        <w:t>3</w:t>
      </w:r>
      <w:r>
        <w:rPr>
          <w:rFonts w:ascii="Verdana" w:hAnsi="Verdana"/>
          <w:color w:val="000000"/>
          <w:sz w:val="18"/>
          <w:szCs w:val="18"/>
        </w:rPr>
        <w:t>».</w:t>
      </w:r>
    </w:p>
    <w:p w14:paraId="2B94DB4B"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Развитие законодательства Ирана предопределило соответствие всех принимаемых законов положениям Конституции Исламской Республики Иран 1979 г.</w:t>
      </w:r>
    </w:p>
    <w:p w14:paraId="08AD9B3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Сильное влияние изменения действующего законодательства оказали на один из важнейших институтов гражданского права - развод, который знаменует прекращение супружеских отношений.</w:t>
      </w:r>
    </w:p>
    <w:p w14:paraId="07289E6C"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Развод как многоаспектное социальное явление является предметом изучения различных наук. Развод является не только правовым, но и психологическим, экономическим, демографическим и культурным феноменом. Увеличение в статистике количества разводов в Иране и в Таджикистане дестабилизирует семейные отношения, не является проблемой конкретной семьи, и как социальное явление влияет на все общество. Свидетельством наличия угрозы стабильности общества является рост разводов. Так, в период с 1982 г. (1361 г.х.</w:t>
      </w:r>
      <w:r>
        <w:rPr>
          <w:rFonts w:ascii="Verdana" w:hAnsi="Verdana"/>
          <w:color w:val="000000"/>
          <w:sz w:val="18"/>
          <w:szCs w:val="18"/>
          <w:vertAlign w:val="superscript"/>
        </w:rPr>
        <w:t>4</w:t>
      </w:r>
      <w:r>
        <w:rPr>
          <w:rFonts w:ascii="Verdana" w:hAnsi="Verdana"/>
          <w:color w:val="000000"/>
          <w:sz w:val="18"/>
          <w:szCs w:val="18"/>
        </w:rPr>
        <w:t>) по 1986г. (1365 г.х.) в Иране приходилось 92 развода на тысячу</w:t>
      </w:r>
    </w:p>
    <w:p w14:paraId="3C523800"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1</w:t>
      </w:r>
      <w:r>
        <w:rPr>
          <w:rStyle w:val="apple-converted-space"/>
          <w:rFonts w:ascii="Verdana" w:hAnsi="Verdana"/>
          <w:color w:val="000000"/>
          <w:sz w:val="18"/>
          <w:szCs w:val="18"/>
        </w:rPr>
        <w:t> </w:t>
      </w:r>
      <w:r>
        <w:rPr>
          <w:rFonts w:ascii="Verdana" w:hAnsi="Verdana"/>
          <w:color w:val="000000"/>
          <w:sz w:val="18"/>
          <w:szCs w:val="18"/>
        </w:rPr>
        <w:t>Сюкияйнен Л.Р. Исламское право: взаимодействие юридического и религиозного начал //</w:t>
      </w:r>
      <w:r>
        <w:rPr>
          <w:rFonts w:ascii="Verdana" w:hAnsi="Verdana"/>
          <w:color w:val="000000"/>
          <w:sz w:val="18"/>
          <w:szCs w:val="18"/>
        </w:rPr>
        <w:br/>
        <w:t>Ежегодник либертарно-юридической теории. М.: ТЕИС, 2007, Вып. 1. С. 104.</w:t>
      </w:r>
    </w:p>
    <w:p w14:paraId="393B3CA1"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lastRenderedPageBreak/>
        <w:t>2</w:t>
      </w:r>
      <w:r>
        <w:rPr>
          <w:rStyle w:val="apple-converted-space"/>
          <w:rFonts w:ascii="Verdana" w:hAnsi="Verdana"/>
          <w:color w:val="000000"/>
          <w:sz w:val="18"/>
          <w:szCs w:val="18"/>
        </w:rPr>
        <w:t> </w:t>
      </w:r>
      <w:r>
        <w:rPr>
          <w:rFonts w:ascii="Verdana" w:hAnsi="Verdana"/>
          <w:color w:val="000000"/>
          <w:sz w:val="18"/>
          <w:szCs w:val="18"/>
        </w:rPr>
        <w:t>Международное частное право. Иностранное законодательство/ сост. Жильцов А.Н. и Муранов</w:t>
      </w:r>
      <w:r>
        <w:rPr>
          <w:rFonts w:ascii="Verdana" w:hAnsi="Verdana"/>
          <w:color w:val="000000"/>
          <w:sz w:val="18"/>
          <w:szCs w:val="18"/>
        </w:rPr>
        <w:br/>
        <w:t>А.И. М.: Статут, 2001. С.300.</w:t>
      </w:r>
    </w:p>
    <w:p w14:paraId="3091C428"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3</w:t>
      </w:r>
      <w:r>
        <w:rPr>
          <w:rStyle w:val="apple-converted-space"/>
          <w:rFonts w:ascii="Verdana" w:hAnsi="Verdana"/>
          <w:color w:val="000000"/>
          <w:sz w:val="18"/>
          <w:szCs w:val="18"/>
        </w:rPr>
        <w:t> </w:t>
      </w:r>
      <w:r>
        <w:rPr>
          <w:rFonts w:ascii="Verdana" w:hAnsi="Verdana"/>
          <w:color w:val="000000"/>
          <w:sz w:val="18"/>
          <w:szCs w:val="18"/>
        </w:rPr>
        <w:t>См.: Маркс К. Объявление войны. –К истории возникновения восточного вопроса//Маркс К.,</w:t>
      </w:r>
      <w:r>
        <w:rPr>
          <w:rFonts w:ascii="Verdana" w:hAnsi="Verdana"/>
          <w:color w:val="000000"/>
          <w:sz w:val="18"/>
          <w:szCs w:val="18"/>
        </w:rPr>
        <w:br/>
        <w:t>Энгельс Ф. Соч. Изд. 2-е. Т.10. С.168. (Цит.по: Махмудов М.А. Семейно-правовые средства</w:t>
      </w:r>
      <w:r>
        <w:rPr>
          <w:rFonts w:ascii="Verdana" w:hAnsi="Verdana"/>
          <w:color w:val="000000"/>
          <w:sz w:val="18"/>
          <w:szCs w:val="18"/>
        </w:rPr>
        <w:br/>
        <w:t>обеспечения стабильности брака. Душанбе, 1990. С.5).</w:t>
      </w:r>
    </w:p>
    <w:p w14:paraId="631EF9F0"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4</w:t>
      </w:r>
      <w:r>
        <w:rPr>
          <w:rStyle w:val="apple-converted-space"/>
          <w:rFonts w:ascii="Verdana" w:hAnsi="Verdana"/>
          <w:color w:val="000000"/>
          <w:sz w:val="18"/>
          <w:szCs w:val="18"/>
        </w:rPr>
        <w:t> </w:t>
      </w:r>
      <w:r>
        <w:rPr>
          <w:rFonts w:ascii="Verdana" w:hAnsi="Verdana"/>
          <w:color w:val="000000"/>
          <w:sz w:val="18"/>
          <w:szCs w:val="18"/>
        </w:rPr>
        <w:t>Год хиджры.</w:t>
      </w:r>
    </w:p>
    <w:p w14:paraId="36674A00"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браков. В период с 1998 г. (1377 г.х.) по 2001 г. (1380 г.х.) процентное соотношение разводов увеличилось с 9,7 до 10,3 процента.</w:t>
      </w:r>
    </w:p>
    <w:p w14:paraId="338EA55D"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По последним статистическим данным, в Исламской Республике Иран в 2014 г. (1393 г.х.) было зарегистрировано в общей сложности 163228 разводов. Этот показатель по сравнению с аналогичным периодом прошлого 2013 (1392 г.х.) года увеличился на 2,9%. По официальным документам органов записи актов гражданского состояния количество разводов в городах составляло 149647 случаев разводов, 13581 случаев разводов было зарегистрировано в сельских районах.</w:t>
      </w:r>
      <w:r>
        <w:rPr>
          <w:rFonts w:ascii="Verdana" w:hAnsi="Verdana"/>
          <w:color w:val="000000"/>
          <w:sz w:val="18"/>
          <w:szCs w:val="18"/>
          <w:vertAlign w:val="superscript"/>
        </w:rPr>
        <w:t>5</w:t>
      </w:r>
      <w:r>
        <w:rPr>
          <w:rStyle w:val="apple-converted-space"/>
          <w:rFonts w:ascii="Verdana" w:hAnsi="Verdana"/>
          <w:color w:val="000000"/>
          <w:sz w:val="18"/>
          <w:szCs w:val="18"/>
        </w:rPr>
        <w:t> </w:t>
      </w:r>
      <w:r>
        <w:rPr>
          <w:rFonts w:ascii="Verdana" w:hAnsi="Verdana"/>
          <w:color w:val="000000"/>
          <w:sz w:val="18"/>
          <w:szCs w:val="18"/>
        </w:rPr>
        <w:t>В г. Тегеране Исламской Республики Иран расторгается каждый пятый заключенный брак</w:t>
      </w:r>
      <w:r>
        <w:rPr>
          <w:rFonts w:ascii="Verdana" w:hAnsi="Verdana"/>
          <w:color w:val="000000"/>
          <w:sz w:val="18"/>
          <w:szCs w:val="18"/>
          <w:vertAlign w:val="superscript"/>
        </w:rPr>
        <w:t>6</w:t>
      </w:r>
      <w:r>
        <w:rPr>
          <w:rFonts w:ascii="Verdana" w:hAnsi="Verdana"/>
          <w:color w:val="000000"/>
          <w:sz w:val="18"/>
          <w:szCs w:val="18"/>
        </w:rPr>
        <w:t>.</w:t>
      </w:r>
    </w:p>
    <w:p w14:paraId="026A9F94"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 свою очередь, в Республике Таджикистан зарегистрировано 6125 разводов в 2010 году, 6797 разводов в 2011 году, 7608 разводов в 2012 году, 8194 разводов в 2013, 9132 разводов в 2014 году</w:t>
      </w:r>
      <w:r>
        <w:rPr>
          <w:rFonts w:ascii="Verdana" w:hAnsi="Verdana"/>
          <w:color w:val="000000"/>
          <w:sz w:val="18"/>
          <w:szCs w:val="18"/>
          <w:vertAlign w:val="superscript"/>
        </w:rPr>
        <w:t>7</w:t>
      </w:r>
      <w:r>
        <w:rPr>
          <w:rFonts w:ascii="Verdana" w:hAnsi="Verdana"/>
          <w:color w:val="000000"/>
          <w:sz w:val="18"/>
          <w:szCs w:val="18"/>
        </w:rPr>
        <w:t>. Негативная статистика разводов указывает не только на наличие проблем между супругами, но и требует разрешения проблем, связанных с материальным обеспечением детей и бывших супругов.</w:t>
      </w:r>
    </w:p>
    <w:p w14:paraId="4F78AC7C"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Развод знаменует не только прекращение брака или раздельное проживание супругов и последствия такого действия, но связан с неблагоприятным воздействием на процесс роста населения и изменением структуры семьи.</w:t>
      </w:r>
    </w:p>
    <w:p w14:paraId="637DE1F8"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Как мы видим, предпринимаемые в Исламской Республике Иран экономические, социальные и правовые меры по сохранению и укреплению семьи недостаточны. Семья, оказавшись под влиянием негативных процессов, связанных с глобализацией: миграцией населения, экономическими проблемами, психологической неподготовленностью лиц, вступающих в брак, не всегда выдерживает современные темпы общественной жизни. Все это катализирует появление разводов, которые отрицательно сказываются на воспитании подрастающего поколения, которое теряет ориентиры социализации и подражания.</w:t>
      </w:r>
    </w:p>
    <w:p w14:paraId="6F52DE87"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Все это требует проведения глубокого и всестороннего анализа теоретико-правовых аспектов развития законодательства Ирана о расторжении брака, правовой сущности, причин и условий, порядка и сроков расторжения брака.</w:t>
      </w:r>
    </w:p>
    <w:p w14:paraId="592FCF6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Исследование института расторжения брака по законодательству Исламской Республики Иран представляет не только научную ценность, но и практическую значимость. Изучение и выяснение правовых основ развода в Иране позволит переосмыслить не только положения действующего иранского законодательства,</w:t>
      </w:r>
    </w:p>
    <w:p w14:paraId="1A34DE6A"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5</w:t>
      </w:r>
      <w:r>
        <w:rPr>
          <w:rStyle w:val="apple-converted-space"/>
          <w:rFonts w:ascii="Verdana" w:hAnsi="Verdana"/>
          <w:color w:val="000000"/>
          <w:sz w:val="18"/>
          <w:szCs w:val="18"/>
        </w:rPr>
        <w:t> </w:t>
      </w:r>
      <w:r>
        <w:rPr>
          <w:rFonts w:ascii="Verdana" w:hAnsi="Verdana"/>
          <w:color w:val="000000"/>
          <w:sz w:val="18"/>
          <w:szCs w:val="18"/>
        </w:rPr>
        <w:t>Тусеркони А. Глава Загса на пресс-конференции с представителями СМИ, 1394 года.(9 мая 2015).</w:t>
      </w:r>
      <w:r>
        <w:rPr>
          <w:rFonts w:ascii="Verdana" w:hAnsi="Verdana"/>
          <w:color w:val="000000"/>
          <w:sz w:val="18"/>
          <w:szCs w:val="18"/>
        </w:rPr>
        <w:br/>
        <w:t>Режим доступа:</w:t>
      </w:r>
      <w:r>
        <w:rPr>
          <w:rStyle w:val="apple-converted-space"/>
          <w:rFonts w:ascii="Verdana" w:hAnsi="Verdana"/>
          <w:color w:val="000000"/>
          <w:sz w:val="18"/>
          <w:szCs w:val="18"/>
        </w:rPr>
        <w:t> </w:t>
      </w:r>
      <w:r>
        <w:rPr>
          <w:rFonts w:ascii="Verdana" w:hAnsi="Verdana"/>
          <w:color w:val="000000"/>
          <w:sz w:val="18"/>
          <w:szCs w:val="18"/>
          <w:u w:val="single"/>
        </w:rPr>
        <w:t>-</w:t>
      </w:r>
      <w:r>
        <w:rPr>
          <w:rStyle w:val="apple-converted-space"/>
          <w:rFonts w:ascii="Verdana" w:hAnsi="Verdana"/>
          <w:color w:val="000000"/>
          <w:sz w:val="18"/>
          <w:szCs w:val="18"/>
        </w:rPr>
        <w:t> </w:t>
      </w:r>
      <w:r>
        <w:rPr>
          <w:rFonts w:ascii="Verdana" w:hAnsi="Verdana"/>
          <w:color w:val="000000"/>
          <w:sz w:val="18"/>
          <w:szCs w:val="18"/>
        </w:rPr>
        <w:t>(дата обращения: 12.08.15).</w:t>
      </w:r>
    </w:p>
    <w:p w14:paraId="7945583A"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6</w:t>
      </w:r>
      <w:r>
        <w:rPr>
          <w:rStyle w:val="apple-converted-space"/>
          <w:rFonts w:ascii="Verdana" w:hAnsi="Verdana"/>
          <w:color w:val="000000"/>
          <w:sz w:val="18"/>
          <w:szCs w:val="18"/>
        </w:rPr>
        <w:t> </w:t>
      </w:r>
      <w:r>
        <w:rPr>
          <w:rFonts w:ascii="Verdana" w:hAnsi="Verdana"/>
          <w:color w:val="000000"/>
          <w:sz w:val="18"/>
          <w:szCs w:val="18"/>
        </w:rPr>
        <w:t>Там же.</w:t>
      </w:r>
    </w:p>
    <w:p w14:paraId="7456B376"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7</w:t>
      </w:r>
      <w:r>
        <w:rPr>
          <w:rStyle w:val="apple-converted-space"/>
          <w:rFonts w:ascii="Verdana" w:hAnsi="Verdana"/>
          <w:color w:val="000000"/>
          <w:sz w:val="18"/>
          <w:szCs w:val="18"/>
        </w:rPr>
        <w:t> </w:t>
      </w:r>
      <w:r>
        <w:rPr>
          <w:rFonts w:ascii="Verdana" w:hAnsi="Verdana"/>
          <w:color w:val="000000"/>
          <w:sz w:val="18"/>
          <w:szCs w:val="18"/>
        </w:rPr>
        <w:t>Официальная статистика органов Управления актов гражданского состояния Министерства</w:t>
      </w:r>
      <w:r>
        <w:rPr>
          <w:rFonts w:ascii="Verdana" w:hAnsi="Verdana"/>
          <w:color w:val="000000"/>
          <w:sz w:val="18"/>
          <w:szCs w:val="18"/>
        </w:rPr>
        <w:br/>
        <w:t>юстиции Республики Таджикистан.</w:t>
      </w:r>
    </w:p>
    <w:p w14:paraId="3D2FA297"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но и Республики Таджикистан. В свою очередь, имеющаяся научная основа правового регулирования развода в Иране недостаточна, что обуславливает определение пробелов в регламентации расторжения брака и выработку рекомендаций, направленных на совершенствование гражданского законодательства.</w:t>
      </w:r>
    </w:p>
    <w:p w14:paraId="677D43E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Вышеуказанные факторы определили актуальность проблемы и выбор темы для диссертационного исследования.</w:t>
      </w:r>
    </w:p>
    <w:p w14:paraId="4BA31F4E" w14:textId="77777777" w:rsidR="00957CEE" w:rsidRDefault="00957CEE" w:rsidP="00957CE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Степень научной разработанности темы исследования.</w:t>
      </w:r>
    </w:p>
    <w:p w14:paraId="4BF4CF1F"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 постсоветском пространстве отсутствуют монографические исследования проблем расторжения брака по законодательству Исламской Республики Иран. Отдельные вопросы рассматриваемой темы подвергались исследованию в диссертациях, монографиях, научных статьях и специальной литературе. В Исламской Республике Иран отдельные аспекты развода были освещены в отдельных работах. Так, изучение развода и социальных факторов, влияющих на него в городе Хой в 1364- 1370 г.г. (1985- 1991) были проведены С. Гульшане</w:t>
      </w:r>
      <w:r>
        <w:rPr>
          <w:rFonts w:ascii="Verdana" w:hAnsi="Verdana"/>
          <w:color w:val="000000"/>
          <w:sz w:val="18"/>
          <w:szCs w:val="18"/>
          <w:vertAlign w:val="superscript"/>
        </w:rPr>
        <w:t>8</w:t>
      </w:r>
      <w:r>
        <w:rPr>
          <w:rFonts w:ascii="Verdana" w:hAnsi="Verdana"/>
          <w:color w:val="000000"/>
          <w:sz w:val="18"/>
          <w:szCs w:val="18"/>
        </w:rPr>
        <w:t>, в</w:t>
      </w:r>
    </w:p>
    <w:p w14:paraId="09BAC5A9" w14:textId="77777777" w:rsidR="00957CEE" w:rsidRDefault="00957CEE" w:rsidP="001D6355">
      <w:pPr>
        <w:pStyle w:val="afffffffffffffffffffffffffff6"/>
        <w:numPr>
          <w:ilvl w:val="0"/>
          <w:numId w:val="6"/>
        </w:numPr>
        <w:shd w:val="clear" w:color="auto" w:fill="FFFFFF"/>
        <w:spacing w:line="240" w:lineRule="auto"/>
        <w:rPr>
          <w:rFonts w:ascii="Verdana" w:hAnsi="Verdana"/>
          <w:color w:val="000000"/>
          <w:sz w:val="18"/>
          <w:szCs w:val="18"/>
        </w:rPr>
      </w:pPr>
      <w:r>
        <w:rPr>
          <w:rFonts w:ascii="Verdana" w:hAnsi="Verdana"/>
          <w:color w:val="000000"/>
          <w:sz w:val="18"/>
          <w:szCs w:val="18"/>
        </w:rPr>
        <w:t>(1997 г.), особенности развода рассмотрены А.Мохтари</w:t>
      </w:r>
      <w:r>
        <w:rPr>
          <w:rFonts w:ascii="Verdana" w:hAnsi="Verdana"/>
          <w:color w:val="000000"/>
          <w:sz w:val="18"/>
          <w:szCs w:val="18"/>
          <w:vertAlign w:val="superscript"/>
        </w:rPr>
        <w:t>9</w:t>
      </w:r>
      <w:r>
        <w:rPr>
          <w:rStyle w:val="apple-converted-space"/>
          <w:rFonts w:ascii="Verdana" w:hAnsi="Verdana"/>
          <w:color w:val="000000"/>
          <w:sz w:val="18"/>
          <w:szCs w:val="18"/>
        </w:rPr>
        <w:t> </w:t>
      </w:r>
      <w:r>
        <w:rPr>
          <w:rFonts w:ascii="Verdana" w:hAnsi="Verdana"/>
          <w:color w:val="000000"/>
          <w:sz w:val="18"/>
          <w:szCs w:val="18"/>
        </w:rPr>
        <w:t>(1379 (2000)), который занимался исследованием причин разводов в провинции Йезд в годы с</w:t>
      </w:r>
    </w:p>
    <w:p w14:paraId="5D3D9F5D" w14:textId="77777777" w:rsidR="00957CEE" w:rsidRDefault="00957CEE" w:rsidP="001D6355">
      <w:pPr>
        <w:pStyle w:val="afffffffffffffffffffffffffff6"/>
        <w:numPr>
          <w:ilvl w:val="0"/>
          <w:numId w:val="6"/>
        </w:numPr>
        <w:shd w:val="clear" w:color="auto" w:fill="FFFFFF"/>
        <w:spacing w:line="240" w:lineRule="auto"/>
        <w:rPr>
          <w:rFonts w:ascii="Verdana" w:hAnsi="Verdana"/>
          <w:color w:val="000000"/>
          <w:sz w:val="18"/>
          <w:szCs w:val="18"/>
        </w:rPr>
      </w:pPr>
      <w:r>
        <w:rPr>
          <w:rFonts w:ascii="Verdana" w:hAnsi="Verdana"/>
          <w:color w:val="000000"/>
          <w:sz w:val="18"/>
          <w:szCs w:val="18"/>
        </w:rPr>
        <w:t>(1998) по 1379 (2000), исследования социальных факторов, влияющих на развод, получили свое развитие в трудах А.Нури-Эсфахани</w:t>
      </w:r>
      <w:r>
        <w:rPr>
          <w:rFonts w:ascii="Verdana" w:hAnsi="Verdana"/>
          <w:color w:val="000000"/>
          <w:sz w:val="18"/>
          <w:szCs w:val="18"/>
          <w:vertAlign w:val="superscript"/>
        </w:rPr>
        <w:t>10</w:t>
      </w:r>
      <w:r>
        <w:rPr>
          <w:rFonts w:ascii="Verdana" w:hAnsi="Verdana"/>
          <w:color w:val="000000"/>
          <w:sz w:val="18"/>
          <w:szCs w:val="18"/>
        </w:rPr>
        <w:t>, который выявлял последствия развода для женщины в иранском законодательстве, З.Джалилян</w:t>
      </w:r>
      <w:r>
        <w:rPr>
          <w:rFonts w:ascii="Verdana" w:hAnsi="Verdana"/>
          <w:color w:val="000000"/>
          <w:sz w:val="18"/>
          <w:szCs w:val="18"/>
          <w:vertAlign w:val="superscript"/>
        </w:rPr>
        <w:t>11</w:t>
      </w:r>
      <w:r>
        <w:rPr>
          <w:rStyle w:val="apple-converted-space"/>
          <w:rFonts w:ascii="Verdana" w:hAnsi="Verdana"/>
          <w:color w:val="000000"/>
          <w:sz w:val="18"/>
          <w:szCs w:val="18"/>
        </w:rPr>
        <w:t> </w:t>
      </w:r>
      <w:r>
        <w:rPr>
          <w:rFonts w:ascii="Verdana" w:hAnsi="Verdana"/>
          <w:color w:val="000000"/>
          <w:sz w:val="18"/>
          <w:szCs w:val="18"/>
        </w:rPr>
        <w:t>занималась рассмотрением социальных последствий развода в Тегеране.</w:t>
      </w:r>
    </w:p>
    <w:p w14:paraId="20178AC1"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Отдельные аспекты семейных отношений в иранском праве, в том числе и расторжения брака, были предметом исследования таджикских ученых, в частности, М.А. Махмудова, С.Н.Тагаевой, Х.Н. Химатова, Б.Т. Худоярова.</w:t>
      </w:r>
    </w:p>
    <w:p w14:paraId="4232CB08"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Однако большинство трудов, касающихся отдельных аспектов темы диссертационного исследования, имеют фрагментарный характер. Комплексные исследования проблем расторжения брака с точки зрения законодательства Ирана и Таджикистана не проводились.</w:t>
      </w:r>
    </w:p>
    <w:p w14:paraId="31A3BF3C"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имеющихся научных трудах не рассмотрены исторические предпосылки возникновения и развития законодательства Ирана о расторжении брака, не выявлены причины и условия расторжения брака, не раскрыты правовые последствия</w:t>
      </w:r>
    </w:p>
    <w:p w14:paraId="71EC25A7"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8</w:t>
      </w:r>
      <w:r>
        <w:rPr>
          <w:rStyle w:val="apple-converted-space"/>
          <w:rFonts w:ascii="Verdana" w:hAnsi="Verdana"/>
          <w:color w:val="000000"/>
          <w:sz w:val="18"/>
          <w:szCs w:val="18"/>
        </w:rPr>
        <w:t> </w:t>
      </w:r>
      <w:r>
        <w:rPr>
          <w:rFonts w:ascii="Verdana" w:hAnsi="Verdana"/>
          <w:color w:val="000000"/>
          <w:sz w:val="18"/>
          <w:szCs w:val="18"/>
        </w:rPr>
        <w:t>Гульшане С. Исследование развода и социальных факторов развода в городе Хой. Тегеран:</w:t>
      </w:r>
      <w:r>
        <w:rPr>
          <w:rFonts w:ascii="Verdana" w:hAnsi="Verdana"/>
          <w:color w:val="000000"/>
          <w:sz w:val="18"/>
          <w:szCs w:val="18"/>
        </w:rPr>
        <w:br/>
        <w:t>Факультет социальных наук, 1995. 175 с.</w:t>
      </w:r>
    </w:p>
    <w:p w14:paraId="0B6D751A"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9</w:t>
      </w:r>
      <w:r>
        <w:rPr>
          <w:rStyle w:val="apple-converted-space"/>
          <w:rFonts w:ascii="Verdana" w:hAnsi="Verdana"/>
          <w:color w:val="000000"/>
          <w:sz w:val="18"/>
          <w:szCs w:val="18"/>
        </w:rPr>
        <w:t> </w:t>
      </w:r>
      <w:r>
        <w:rPr>
          <w:rFonts w:ascii="Verdana" w:hAnsi="Verdana"/>
          <w:color w:val="000000"/>
          <w:sz w:val="18"/>
          <w:szCs w:val="18"/>
        </w:rPr>
        <w:t>Мохтари А. Изменения в правилах , касающихся развода в Иране. Тегеран: Факультет исламских</w:t>
      </w:r>
      <w:r>
        <w:rPr>
          <w:rFonts w:ascii="Verdana" w:hAnsi="Verdana"/>
          <w:color w:val="000000"/>
          <w:sz w:val="18"/>
          <w:szCs w:val="18"/>
        </w:rPr>
        <w:br/>
        <w:t>исследований, 1996. 158 с.</w:t>
      </w:r>
    </w:p>
    <w:p w14:paraId="01321C9F"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10</w:t>
      </w:r>
      <w:r>
        <w:rPr>
          <w:rFonts w:ascii="Verdana" w:hAnsi="Verdana"/>
          <w:color w:val="000000"/>
          <w:sz w:val="18"/>
          <w:szCs w:val="18"/>
        </w:rPr>
        <w:t>Нури-Эсфахани А. Основания для развода для женщин в иранском праве. Шираз, 1999. 213 с.</w:t>
      </w:r>
      <w:r>
        <w:rPr>
          <w:rStyle w:val="apple-converted-space"/>
          <w:rFonts w:ascii="Verdana" w:hAnsi="Verdana"/>
          <w:color w:val="000000"/>
          <w:sz w:val="18"/>
          <w:szCs w:val="18"/>
        </w:rPr>
        <w:t> </w:t>
      </w:r>
      <w:r>
        <w:rPr>
          <w:rFonts w:ascii="Verdana" w:hAnsi="Verdana"/>
          <w:color w:val="000000"/>
          <w:sz w:val="18"/>
          <w:szCs w:val="18"/>
          <w:vertAlign w:val="superscript"/>
        </w:rPr>
        <w:t>11</w:t>
      </w:r>
      <w:r>
        <w:rPr>
          <w:rFonts w:ascii="Verdana" w:hAnsi="Verdana"/>
          <w:color w:val="000000"/>
          <w:sz w:val="18"/>
          <w:szCs w:val="18"/>
        </w:rPr>
        <w:t>Джалилиян З. Социальные факторы, влияющие на развод в Тегеране. Тегеран: Факультет социальных наук, 1997. 136 с.</w:t>
      </w:r>
    </w:p>
    <w:p w14:paraId="7A80BFBF"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расторжения брака. Кроме того, отсутствует сравнительно-правовой анализ расторжения брака в Иране и Таджикистане.</w:t>
      </w:r>
    </w:p>
    <w:p w14:paraId="3849073D"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С учетом изложенного, можно сделать вывод, что проблемы расторжения брака в иранском праве разработаны в науке недостаточно.</w:t>
      </w:r>
    </w:p>
    <w:p w14:paraId="64A7701F" w14:textId="77777777" w:rsidR="00957CEE" w:rsidRDefault="00957CEE" w:rsidP="00957CE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Цели и задачи исследования. Целью</w:t>
      </w:r>
      <w:r>
        <w:rPr>
          <w:rStyle w:val="apple-converted-space"/>
          <w:rFonts w:ascii="Verdana" w:hAnsi="Verdana"/>
          <w:color w:val="000000"/>
          <w:sz w:val="18"/>
          <w:szCs w:val="18"/>
        </w:rPr>
        <w:t> </w:t>
      </w:r>
      <w:r>
        <w:rPr>
          <w:rFonts w:ascii="Verdana" w:hAnsi="Verdana"/>
          <w:color w:val="000000"/>
          <w:sz w:val="18"/>
          <w:szCs w:val="18"/>
        </w:rPr>
        <w:t>настоящего диссертационного</w:t>
      </w:r>
      <w:r>
        <w:rPr>
          <w:rFonts w:ascii="Verdana" w:hAnsi="Verdana"/>
          <w:color w:val="000000"/>
          <w:sz w:val="18"/>
          <w:szCs w:val="18"/>
        </w:rPr>
        <w:br/>
        <w:t>исследования является исследование расторжения брака в иранском праве, а</w:t>
      </w:r>
      <w:r>
        <w:rPr>
          <w:rFonts w:ascii="Verdana" w:hAnsi="Verdana"/>
          <w:color w:val="000000"/>
          <w:sz w:val="18"/>
          <w:szCs w:val="18"/>
        </w:rPr>
        <w:br/>
        <w:t>также выработка рекомендаций по совершенствованию действующего</w:t>
      </w:r>
      <w:r>
        <w:rPr>
          <w:rFonts w:ascii="Verdana" w:hAnsi="Verdana"/>
          <w:color w:val="000000"/>
          <w:sz w:val="18"/>
          <w:szCs w:val="18"/>
        </w:rPr>
        <w:br/>
        <w:t>гражданского законодательства Исламской Республики Иран,</w:t>
      </w:r>
    </w:p>
    <w:p w14:paraId="0685419D"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регламентирующего расторжение брака.</w:t>
      </w:r>
    </w:p>
    <w:p w14:paraId="4132CA2D"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Достижение указанной цели предопределило постановку и решение следующих</w:t>
      </w:r>
      <w:r>
        <w:rPr>
          <w:rStyle w:val="apple-converted-space"/>
          <w:rFonts w:ascii="Verdana" w:hAnsi="Verdana"/>
          <w:color w:val="000000"/>
          <w:sz w:val="18"/>
          <w:szCs w:val="18"/>
        </w:rPr>
        <w:t> </w:t>
      </w:r>
      <w:r>
        <w:rPr>
          <w:rStyle w:val="af2"/>
          <w:rFonts w:ascii="Verdana" w:hAnsi="Verdana"/>
          <w:color w:val="000000"/>
          <w:sz w:val="18"/>
          <w:szCs w:val="18"/>
        </w:rPr>
        <w:t>задач:</w:t>
      </w:r>
    </w:p>
    <w:p w14:paraId="5482E548" w14:textId="77777777" w:rsidR="00957CEE" w:rsidRDefault="00957CEE" w:rsidP="001D6355">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Выявить предпосылки возникновения и развития законодательства Ирана о расторжении брака;</w:t>
      </w:r>
    </w:p>
    <w:p w14:paraId="3CA2D931" w14:textId="77777777" w:rsidR="00957CEE" w:rsidRDefault="00957CEE" w:rsidP="001D6355">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Рассмотреть понятие расторжения брака и его правовую сущность;</w:t>
      </w:r>
    </w:p>
    <w:p w14:paraId="4E730511" w14:textId="77777777" w:rsidR="00957CEE" w:rsidRDefault="00957CEE" w:rsidP="001D6355">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Проанализировать правовые основы расторжения брака;</w:t>
      </w:r>
    </w:p>
    <w:p w14:paraId="2D9635F8" w14:textId="77777777" w:rsidR="00957CEE" w:rsidRDefault="00957CEE" w:rsidP="001D6355">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Выявить причины и условия расторжения брака;</w:t>
      </w:r>
    </w:p>
    <w:p w14:paraId="76A127EF" w14:textId="77777777" w:rsidR="00957CEE" w:rsidRDefault="00957CEE" w:rsidP="001D6355">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Рассмотреть порядок и сроки расторжения брака;</w:t>
      </w:r>
    </w:p>
    <w:p w14:paraId="1F85E88C" w14:textId="77777777" w:rsidR="00957CEE" w:rsidRDefault="00957CEE" w:rsidP="001D6355">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Проанализировать правовые последствия расторжения брака;</w:t>
      </w:r>
    </w:p>
    <w:p w14:paraId="6F370BE9" w14:textId="77777777" w:rsidR="00957CEE" w:rsidRDefault="00957CEE" w:rsidP="001D6355">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Провести сравнительно-правовой анализ семейных законодательств Ирана и Таджикистана и выявить отличительные особенности и сходство институтов расторжения брака;</w:t>
      </w:r>
    </w:p>
    <w:p w14:paraId="2DD0EDAB" w14:textId="77777777" w:rsidR="00957CEE" w:rsidRDefault="00957CEE" w:rsidP="001D6355">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Разработать и обосновать теоретические положения и предложения по внесению изменений и дополнений в Гражданский закон Ирана, касающихся расторжения брака.</w:t>
      </w:r>
    </w:p>
    <w:p w14:paraId="433A950F" w14:textId="77777777" w:rsidR="00957CEE" w:rsidRDefault="00957CEE" w:rsidP="00957CE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Объектом исследования</w:t>
      </w:r>
      <w:r>
        <w:rPr>
          <w:rStyle w:val="apple-converted-space"/>
          <w:rFonts w:ascii="Verdana" w:hAnsi="Verdana"/>
          <w:color w:val="000000"/>
          <w:sz w:val="18"/>
          <w:szCs w:val="18"/>
        </w:rPr>
        <w:t> </w:t>
      </w:r>
      <w:r>
        <w:rPr>
          <w:rFonts w:ascii="Verdana" w:hAnsi="Verdana"/>
          <w:color w:val="000000"/>
          <w:sz w:val="18"/>
          <w:szCs w:val="18"/>
        </w:rPr>
        <w:t>стали правоотношения супругов, возникающие в связи с расторжение брака.</w:t>
      </w:r>
    </w:p>
    <w:p w14:paraId="3975356B" w14:textId="77777777" w:rsidR="00957CEE" w:rsidRDefault="00957CEE" w:rsidP="00957CE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Предметом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является действующее гражданское законодательство Исламской Республики Иран и теоретические положения, касающиеся расторжения брака.</w:t>
      </w:r>
    </w:p>
    <w:p w14:paraId="608F22F6" w14:textId="77777777" w:rsidR="00957CEE" w:rsidRDefault="00957CEE" w:rsidP="00957CE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Теоретической основой исследования</w:t>
      </w:r>
      <w:r>
        <w:rPr>
          <w:rStyle w:val="apple-converted-space"/>
          <w:rFonts w:ascii="Verdana" w:hAnsi="Verdana"/>
          <w:color w:val="000000"/>
          <w:sz w:val="18"/>
          <w:szCs w:val="18"/>
        </w:rPr>
        <w:t> </w:t>
      </w:r>
      <w:r>
        <w:rPr>
          <w:rFonts w:ascii="Verdana" w:hAnsi="Verdana"/>
          <w:color w:val="000000"/>
          <w:sz w:val="18"/>
          <w:szCs w:val="18"/>
        </w:rPr>
        <w:t>явились труды ученых Исламской Республики Иран: А.Гульшане, С. Гульшане, А. Халили, А. Мохтари, А. Нури-Эсфахани, Али Мохамада, З. Джалилиян.</w:t>
      </w:r>
    </w:p>
    <w:p w14:paraId="6E3D1014"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 исследовании использованы выводы, содержащиеся в работах М.В. Антокольской, Е.В. Вершининой, Е.М. Ворожейкина, Ю.А. Королева, П.В Крашенинникова, А.Н. Левушкина, Н.И. Марышевой, М.А. Махмудова, А.М. Нечаевой, С. Пайкон, В.А. Рясенцева, С.Н.Тагаевой, О.А. Хазовой, Х.Н. Химатова, Б.Т.Худоярова, В.П. Шахматова.</w:t>
      </w:r>
    </w:p>
    <w:p w14:paraId="379ED1DE"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 эмпирическую основу исследования входят материалы судебной практики г. Тегеран Исламской Республики Иран. Для целей сравнительно-правового исследования в эмпирическую базу включены материалы семейного законодательства Республики Таджикистан.</w:t>
      </w:r>
    </w:p>
    <w:p w14:paraId="62E5FC33" w14:textId="77777777" w:rsidR="00957CEE" w:rsidRDefault="00957CEE" w:rsidP="00957CE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Методологическая основа исследования.</w:t>
      </w:r>
      <w:r>
        <w:rPr>
          <w:rStyle w:val="apple-converted-space"/>
          <w:rFonts w:ascii="Verdana" w:hAnsi="Verdana"/>
          <w:color w:val="000000"/>
          <w:sz w:val="18"/>
          <w:szCs w:val="18"/>
        </w:rPr>
        <w:t> </w:t>
      </w:r>
      <w:r>
        <w:rPr>
          <w:rFonts w:ascii="Verdana" w:hAnsi="Verdana"/>
          <w:color w:val="000000"/>
          <w:sz w:val="18"/>
          <w:szCs w:val="18"/>
        </w:rPr>
        <w:t>Исследование основывается на методе анализа, синтеза, индукции, дедукции, а также формально-юридическом методе, методе системного анализа, методе сравнительного правоведения.</w:t>
      </w:r>
    </w:p>
    <w:p w14:paraId="2C092677" w14:textId="77777777" w:rsidR="00957CEE" w:rsidRDefault="00957CEE" w:rsidP="00957CE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Научная новизна исследования</w:t>
      </w:r>
      <w:r>
        <w:rPr>
          <w:rStyle w:val="apple-converted-space"/>
          <w:rFonts w:ascii="Verdana" w:hAnsi="Verdana"/>
          <w:color w:val="000000"/>
          <w:sz w:val="18"/>
          <w:szCs w:val="18"/>
        </w:rPr>
        <w:t> </w:t>
      </w:r>
      <w:r>
        <w:rPr>
          <w:rFonts w:ascii="Verdana" w:hAnsi="Verdana"/>
          <w:color w:val="000000"/>
          <w:sz w:val="18"/>
          <w:szCs w:val="18"/>
        </w:rPr>
        <w:t>состоит в том, что его автором впервые проведен комплексный анализ расторжения брака по законодательству Ирана, выявлены причины, условия, особенности развода, рассмотрена судебная практика и сформулирован ряд новых положений, выводов и рекомендаций по совершенствованию действующего гражданского законодательства в данной сфере.</w:t>
      </w:r>
    </w:p>
    <w:p w14:paraId="76157952"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Научная новизна исследования состоит также в следующих положениях, выносимых на защиту:</w:t>
      </w:r>
    </w:p>
    <w:p w14:paraId="30DC33AE"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1. Развитие института развода осуществлялось в направлении расширения</w:t>
      </w:r>
      <w:r>
        <w:rPr>
          <w:rFonts w:ascii="Verdana" w:hAnsi="Verdana"/>
          <w:color w:val="000000"/>
          <w:sz w:val="18"/>
          <w:szCs w:val="18"/>
        </w:rPr>
        <w:br/>
        <w:t>права женщины и сужения абсолютного права мужчины на развод. Предоставление</w:t>
      </w:r>
      <w:r>
        <w:rPr>
          <w:rFonts w:ascii="Verdana" w:hAnsi="Verdana"/>
          <w:color w:val="000000"/>
          <w:sz w:val="18"/>
          <w:szCs w:val="18"/>
        </w:rPr>
        <w:br/>
        <w:t>женщинам прав в различных сферах общественной жизни, направленных на</w:t>
      </w:r>
      <w:r>
        <w:rPr>
          <w:rFonts w:ascii="Verdana" w:hAnsi="Verdana"/>
          <w:color w:val="000000"/>
          <w:sz w:val="18"/>
          <w:szCs w:val="18"/>
        </w:rPr>
        <w:br/>
        <w:t>повышение их статуса в иранском обществе, предопределило предоставление им</w:t>
      </w:r>
      <w:r>
        <w:rPr>
          <w:rFonts w:ascii="Verdana" w:hAnsi="Verdana"/>
          <w:color w:val="000000"/>
          <w:sz w:val="18"/>
          <w:szCs w:val="18"/>
        </w:rPr>
        <w:br/>
        <w:t>права требования развода от мужа, хотя и при определенных условиях.</w:t>
      </w:r>
    </w:p>
    <w:p w14:paraId="0AB75B7A" w14:textId="77777777" w:rsidR="00957CEE" w:rsidRDefault="00957CEE" w:rsidP="001D6355">
      <w:pPr>
        <w:pStyle w:val="afffffffffffffffffffffffffff6"/>
        <w:numPr>
          <w:ilvl w:val="0"/>
          <w:numId w:val="8"/>
        </w:numPr>
        <w:shd w:val="clear" w:color="auto" w:fill="FFFFFF"/>
        <w:spacing w:line="240" w:lineRule="auto"/>
        <w:rPr>
          <w:rFonts w:ascii="Verdana" w:hAnsi="Verdana"/>
          <w:color w:val="000000"/>
          <w:sz w:val="18"/>
          <w:szCs w:val="18"/>
        </w:rPr>
      </w:pPr>
      <w:r>
        <w:rPr>
          <w:rFonts w:ascii="Verdana" w:hAnsi="Verdana"/>
          <w:color w:val="000000"/>
          <w:sz w:val="18"/>
          <w:szCs w:val="18"/>
        </w:rPr>
        <w:t>Развод, являясь одним из оснований для расторжения брачного договора, получил дуалистическую регламентацию: с помощью гражданско-правовых институтов Гражданского закона Исламской Республики Иран, а также испытывает сильное влияние религиозных и моральных норм.</w:t>
      </w:r>
    </w:p>
    <w:p w14:paraId="373D12D0" w14:textId="77777777" w:rsidR="00957CEE" w:rsidRDefault="00957CEE" w:rsidP="001D6355">
      <w:pPr>
        <w:pStyle w:val="afffffffffffffffffffffffffff6"/>
        <w:numPr>
          <w:ilvl w:val="0"/>
          <w:numId w:val="8"/>
        </w:numPr>
        <w:shd w:val="clear" w:color="auto" w:fill="FFFFFF"/>
        <w:spacing w:line="240" w:lineRule="auto"/>
        <w:rPr>
          <w:rFonts w:ascii="Verdana" w:hAnsi="Verdana"/>
          <w:color w:val="000000"/>
          <w:sz w:val="18"/>
          <w:szCs w:val="18"/>
        </w:rPr>
      </w:pPr>
      <w:r>
        <w:rPr>
          <w:rFonts w:ascii="Verdana" w:hAnsi="Verdana"/>
          <w:color w:val="000000"/>
          <w:sz w:val="18"/>
          <w:szCs w:val="18"/>
        </w:rPr>
        <w:t>Исламский фикх и гражданское законодательство Исламской Республики Иран признают развод односторонним актом (йика), исходящим от мужа или его представителя. Право на развод женщины обусловлено наличием определенных условий.</w:t>
      </w:r>
    </w:p>
    <w:p w14:paraId="3D0797F2"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4. В гражданском законодательстве Исламской Республики Иран</w:t>
      </w:r>
      <w:r>
        <w:rPr>
          <w:rFonts w:ascii="Verdana" w:hAnsi="Verdana"/>
          <w:color w:val="000000"/>
          <w:sz w:val="18"/>
          <w:szCs w:val="18"/>
        </w:rPr>
        <w:br/>
        <w:t>реализованы концепции: 1) развода как санкции, основанной на виновном</w:t>
      </w:r>
      <w:r>
        <w:rPr>
          <w:rFonts w:ascii="Verdana" w:hAnsi="Verdana"/>
          <w:color w:val="000000"/>
          <w:sz w:val="18"/>
          <w:szCs w:val="18"/>
        </w:rPr>
        <w:br/>
      </w:r>
      <w:r>
        <w:rPr>
          <w:rFonts w:ascii="Verdana" w:hAnsi="Verdana"/>
          <w:color w:val="000000"/>
          <w:sz w:val="18"/>
          <w:szCs w:val="18"/>
        </w:rPr>
        <w:lastRenderedPageBreak/>
        <w:t>поведении одного из супругов; 2) развода как констатации, основанного на</w:t>
      </w:r>
      <w:r>
        <w:rPr>
          <w:rFonts w:ascii="Verdana" w:hAnsi="Verdana"/>
          <w:color w:val="000000"/>
          <w:sz w:val="18"/>
          <w:szCs w:val="18"/>
        </w:rPr>
        <w:br/>
        <w:t>непоправимом распаде семьи; 3) развода как соглашения, основанного на</w:t>
      </w:r>
      <w:r>
        <w:rPr>
          <w:rFonts w:ascii="Verdana" w:hAnsi="Verdana"/>
          <w:color w:val="000000"/>
          <w:sz w:val="18"/>
          <w:szCs w:val="18"/>
        </w:rPr>
        <w:br/>
        <w:t>взаимном согласии сторон; развода как требования, основанного на</w:t>
      </w:r>
      <w:r>
        <w:rPr>
          <w:rFonts w:ascii="Verdana" w:hAnsi="Verdana"/>
          <w:color w:val="000000"/>
          <w:sz w:val="18"/>
          <w:szCs w:val="18"/>
        </w:rPr>
        <w:br/>
        <w:t>одностороннем волеизъявлении одного из супругов.</w:t>
      </w:r>
    </w:p>
    <w:p w14:paraId="675CE558"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4. Социологические исследования причин разводов позволили выявить факторы разводов в Исламской Республике.</w:t>
      </w:r>
    </w:p>
    <w:p w14:paraId="71D75747"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Причины разводов классифицированы по группам факторов развода:</w:t>
      </w:r>
    </w:p>
    <w:p w14:paraId="6D3C37BA"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 на факторы, связанные со здоровьем и зрелостью супругов, которые</w:t>
      </w:r>
      <w:r>
        <w:rPr>
          <w:rFonts w:ascii="Verdana" w:hAnsi="Verdana"/>
          <w:color w:val="000000"/>
          <w:sz w:val="18"/>
          <w:szCs w:val="18"/>
        </w:rPr>
        <w:br/>
        <w:t>включают в себя возрастные различия, раннее вступление в брак, затяжные</w:t>
      </w:r>
      <w:r>
        <w:rPr>
          <w:rFonts w:ascii="Verdana" w:hAnsi="Verdana"/>
          <w:color w:val="000000"/>
          <w:sz w:val="18"/>
          <w:szCs w:val="18"/>
        </w:rPr>
        <w:br/>
        <w:t>болезни, бесплодие, сексуальную несовместимость.</w:t>
      </w:r>
    </w:p>
    <w:p w14:paraId="3A32BB01"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 культурные, нравственные, социальные и экономические</w:t>
      </w:r>
      <w:r>
        <w:rPr>
          <w:rFonts w:ascii="Verdana" w:hAnsi="Verdana"/>
          <w:color w:val="000000"/>
          <w:sz w:val="18"/>
          <w:szCs w:val="18"/>
        </w:rPr>
        <w:br/>
        <w:t>факторы развода, включающие в себя увеличение требований и ожиданий</w:t>
      </w:r>
      <w:r>
        <w:rPr>
          <w:rFonts w:ascii="Verdana" w:hAnsi="Verdana"/>
          <w:color w:val="000000"/>
          <w:sz w:val="18"/>
          <w:szCs w:val="18"/>
        </w:rPr>
        <w:br/>
        <w:t>супруги от совместной жизни в браке, подражание чужой культуре, стремление</w:t>
      </w:r>
      <w:r>
        <w:rPr>
          <w:rFonts w:ascii="Verdana" w:hAnsi="Verdana"/>
          <w:color w:val="000000"/>
          <w:sz w:val="18"/>
          <w:szCs w:val="18"/>
        </w:rPr>
        <w:br/>
        <w:t>к излишней роскоши, наличие дискриминации по отношению к женщинам,</w:t>
      </w:r>
      <w:r>
        <w:rPr>
          <w:rFonts w:ascii="Verdana" w:hAnsi="Verdana"/>
          <w:color w:val="000000"/>
          <w:sz w:val="18"/>
          <w:szCs w:val="18"/>
        </w:rPr>
        <w:br/>
        <w:t>наличие насилия в семье, легкомысленный или меркантильный выбор супруга,</w:t>
      </w:r>
      <w:r>
        <w:rPr>
          <w:rFonts w:ascii="Verdana" w:hAnsi="Verdana"/>
          <w:color w:val="000000"/>
          <w:sz w:val="18"/>
          <w:szCs w:val="18"/>
        </w:rPr>
        <w:br/>
        <w:t>небольшой доход и связанные с ним семейные проблемы, вмешательство</w:t>
      </w:r>
      <w:r>
        <w:rPr>
          <w:rFonts w:ascii="Verdana" w:hAnsi="Verdana"/>
          <w:color w:val="000000"/>
          <w:sz w:val="18"/>
          <w:szCs w:val="18"/>
        </w:rPr>
        <w:br/>
        <w:t>родственников в семейную жизнь супругов, различия в материальном</w:t>
      </w:r>
      <w:r>
        <w:rPr>
          <w:rFonts w:ascii="Verdana" w:hAnsi="Verdana"/>
          <w:color w:val="000000"/>
          <w:sz w:val="18"/>
          <w:szCs w:val="18"/>
        </w:rPr>
        <w:br/>
        <w:t>положении родственников и близких мужа и жены, разница в образовании и</w:t>
      </w:r>
      <w:r>
        <w:rPr>
          <w:rFonts w:ascii="Verdana" w:hAnsi="Verdana"/>
          <w:color w:val="000000"/>
          <w:sz w:val="18"/>
          <w:szCs w:val="18"/>
        </w:rPr>
        <w:br/>
        <w:t>социальной принадлежности, завышенное внимание к внешней атрибутике,</w:t>
      </w:r>
      <w:r>
        <w:rPr>
          <w:rFonts w:ascii="Verdana" w:hAnsi="Verdana"/>
          <w:color w:val="000000"/>
          <w:sz w:val="18"/>
          <w:szCs w:val="18"/>
        </w:rPr>
        <w:br/>
        <w:t>поверхностное и беспечное отношение к браку, безработица и безденежье супруга.</w:t>
      </w:r>
    </w:p>
    <w:p w14:paraId="473CE683" w14:textId="77777777" w:rsidR="00957CEE" w:rsidRDefault="00957CEE" w:rsidP="001D6355">
      <w:pPr>
        <w:pStyle w:val="afffffffffffffffffffffffffff6"/>
        <w:numPr>
          <w:ilvl w:val="0"/>
          <w:numId w:val="9"/>
        </w:numPr>
        <w:shd w:val="clear" w:color="auto" w:fill="FFFFFF"/>
        <w:spacing w:line="240" w:lineRule="auto"/>
        <w:rPr>
          <w:rFonts w:ascii="Verdana" w:hAnsi="Verdana"/>
          <w:color w:val="000000"/>
          <w:sz w:val="18"/>
          <w:szCs w:val="18"/>
        </w:rPr>
      </w:pPr>
      <w:r>
        <w:rPr>
          <w:rFonts w:ascii="Verdana" w:hAnsi="Verdana"/>
          <w:color w:val="000000"/>
          <w:sz w:val="18"/>
          <w:szCs w:val="18"/>
        </w:rPr>
        <w:t>Предоставление абсолютного права на развод мужу восполняется возможностью диспозитивного урегулирования права на развод жены при заключении брачного договора. Причем брачный договор в качестве обязательных условий должен содержать условия, нарушение которых влечет появление у жены субъективного права на обращение в суд с заявлением о расторжении брака, а также право на материальное взыскание с мужа, расторгнувшего брак без уважительной на то причины, и право на развод мужа.</w:t>
      </w:r>
    </w:p>
    <w:p w14:paraId="0663FE91" w14:textId="77777777" w:rsidR="00957CEE" w:rsidRDefault="00957CEE" w:rsidP="001D6355">
      <w:pPr>
        <w:pStyle w:val="afffffffffffffffffffffffffff6"/>
        <w:numPr>
          <w:ilvl w:val="0"/>
          <w:numId w:val="9"/>
        </w:numPr>
        <w:shd w:val="clear" w:color="auto" w:fill="FFFFFF"/>
        <w:spacing w:line="240" w:lineRule="auto"/>
        <w:rPr>
          <w:rFonts w:ascii="Verdana" w:hAnsi="Verdana"/>
          <w:color w:val="000000"/>
          <w:sz w:val="18"/>
          <w:szCs w:val="18"/>
        </w:rPr>
      </w:pPr>
      <w:r>
        <w:rPr>
          <w:rFonts w:ascii="Verdana" w:hAnsi="Verdana"/>
          <w:color w:val="000000"/>
          <w:sz w:val="18"/>
          <w:szCs w:val="18"/>
        </w:rPr>
        <w:t>В целях интеграции Ирана в мировое сообщество и упрощения процедуры расторжения распавшегося брака считаем целесообразным допустить возможность совершения развода по праву того государства, где брак расторгается. В качестве основания признания данного развода на территории Ирана считать его соответствующим законам иностранного государства и проводить проверку на соблюдение требований шариата при запросе признания решения.</w:t>
      </w:r>
    </w:p>
    <w:p w14:paraId="4529C563"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7. Принципы свободы развода в законодательстве Исламской Республики</w:t>
      </w:r>
      <w:r>
        <w:rPr>
          <w:rFonts w:ascii="Verdana" w:hAnsi="Verdana"/>
          <w:color w:val="000000"/>
          <w:sz w:val="18"/>
          <w:szCs w:val="18"/>
        </w:rPr>
        <w:br/>
        <w:t>Иран и Республики Таджикистан различаются.</w:t>
      </w:r>
    </w:p>
    <w:p w14:paraId="6E863018"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 Республике Таджикистан право на развод женщины не может быть ограничено, оно является абсолютным ее правом. Даже брачный договор не может содержать условия, которые ставят супруга в крайне неблагоприятное положение или ограничивают его право на обращение в суд за защитой своих прав.</w:t>
      </w:r>
    </w:p>
    <w:p w14:paraId="2CEFED5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Право на развод женщины связано с условиями брачного договора, который предоставляет мужу и жене равные права на расторжение брака. Условия брачного договора в Исламской Республике Иран также должны содержать обоюдное право обоих супругов на расторжение брака.</w:t>
      </w:r>
    </w:p>
    <w:p w14:paraId="0B714714"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Гражданское законодательство Исламской Республики Иран абсолютное право на развод предоставляет мужчине, и не требует предоставления фактов или причин для развода со стороны жены.</w:t>
      </w:r>
    </w:p>
    <w:p w14:paraId="13C07248"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8. Предложен комплекс мероприятий, направленных на предотвращение разводов, классифицированный на: государственные (организационные (профилактические) и идеологические механизмы) и внутрисемейные частные методы (в соответствии с нормами шариата).</w:t>
      </w:r>
    </w:p>
    <w:p w14:paraId="58ECE77B" w14:textId="77777777" w:rsidR="00957CEE" w:rsidRDefault="00957CEE" w:rsidP="00957CE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Практическая значимость исследования.</w:t>
      </w:r>
      <w:r>
        <w:rPr>
          <w:rStyle w:val="apple-converted-space"/>
          <w:rFonts w:ascii="Verdana" w:hAnsi="Verdana"/>
          <w:color w:val="000000"/>
          <w:sz w:val="18"/>
          <w:szCs w:val="18"/>
        </w:rPr>
        <w:t> </w:t>
      </w:r>
      <w:r>
        <w:rPr>
          <w:rFonts w:ascii="Verdana" w:hAnsi="Verdana"/>
          <w:color w:val="000000"/>
          <w:sz w:val="18"/>
          <w:szCs w:val="18"/>
        </w:rPr>
        <w:t>Положения и выводы диссертации восполняют пробел в комплексном исследовании развода в Исламской Республике Иран и могут быть использованы для совершенствования гражданского законодательства Исламской Республики Иран в части правового регулирования развода. Кроме того, они могут быть предметом дальнейших научных исследований в данной области.</w:t>
      </w:r>
    </w:p>
    <w:p w14:paraId="137943C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Содержащийся в работе теоретический материал может быть использован в процессе преподавания таких правовых дисциплин в юридических учебных заведениях, как семейное право, гражданское право.</w:t>
      </w:r>
    </w:p>
    <w:p w14:paraId="2E2A314A" w14:textId="77777777" w:rsidR="00957CEE" w:rsidRDefault="00957CEE" w:rsidP="00957CE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Апробация результатов исследования.</w:t>
      </w:r>
      <w:r>
        <w:rPr>
          <w:rStyle w:val="apple-converted-space"/>
          <w:rFonts w:ascii="Verdana" w:hAnsi="Verdana"/>
          <w:color w:val="000000"/>
          <w:sz w:val="18"/>
          <w:szCs w:val="18"/>
        </w:rPr>
        <w:t> </w:t>
      </w:r>
      <w:r>
        <w:rPr>
          <w:rFonts w:ascii="Verdana" w:hAnsi="Verdana"/>
          <w:color w:val="000000"/>
          <w:sz w:val="18"/>
          <w:szCs w:val="18"/>
        </w:rPr>
        <w:t>Диссертационное исследование выполнено и обсуждено на кафедре гражданского права Таджикского национального университета.</w:t>
      </w:r>
    </w:p>
    <w:p w14:paraId="23B1B15C"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Основные положения, выводы и рекомендации, содержащиеся в диссертационном исследовании, отражены в публикациях общим объемом 4,2 п.л., а также изложены в докладах и выступлениях на научно-практических конференциях: Международная конференция «Проблемы правоотношений членов семьи» (г.Бишкек, ноябрь 2012 г.); Международная конференция «Правовые проблемы защиты прав и законных интересов членов семьи при расторжении брака» (г.Бишкек, 1-8 февраля 2013 г.); Международная конференция «Вклад государственных и религиозных организаций в укрепление семьи» (г.Ош, май 2013 г.); Международная конференция «Роль культуры в развитии человеческой безопасности в Западной Азии» (г.Бирджанд, апрель 2015 г.); Международный Круглый стол «Актуальные вопросы семейного права Республики Таджикистан на современном этапе» (г.Душанбе, 12 июня 2015 г.); Республиканская научно-практическая конференция «Актуальные проблемы регулирования гражданского права» (г.Душанбе, 26 сентября 2015 г.); Международная конференция «Конституционное правосудие - гарантия обеспечения верховенства Конституции» (г.Душанбе, 17-18 сентября 2015 г.).</w:t>
      </w:r>
    </w:p>
    <w:p w14:paraId="72EDE937" w14:textId="77777777" w:rsidR="00957CEE" w:rsidRDefault="00957CEE" w:rsidP="00957CE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Структура работы.</w:t>
      </w:r>
      <w:r>
        <w:rPr>
          <w:rStyle w:val="apple-converted-space"/>
          <w:rFonts w:ascii="Verdana" w:hAnsi="Verdana"/>
          <w:color w:val="000000"/>
          <w:sz w:val="18"/>
          <w:szCs w:val="18"/>
        </w:rPr>
        <w:t> </w:t>
      </w:r>
      <w:r>
        <w:rPr>
          <w:rFonts w:ascii="Verdana" w:hAnsi="Verdana"/>
          <w:color w:val="000000"/>
          <w:sz w:val="18"/>
          <w:szCs w:val="18"/>
        </w:rPr>
        <w:t>Диссертация состоит из введения, трех глав, включающих десять параграфов, заключения и списка использованной литературы. Общий объем диссертации составляет 177 страниц текста.</w:t>
      </w:r>
    </w:p>
    <w:p w14:paraId="2C18D82B" w14:textId="77777777" w:rsidR="00957CEE" w:rsidRDefault="00957CEE" w:rsidP="00957CEE">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lastRenderedPageBreak/>
        <w:t>Понятие расторжения брака и его правовая сущность</w:t>
      </w:r>
    </w:p>
    <w:p w14:paraId="5029C6C2"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Развод как один из способов прекращения супружеских отношений сопровождает развитие человеческого общества. В древний доисламский период истории Ирана можно выделить Сасанидский период, который характеризовался расцветом иранской цивилизации. Следует отметить, что развитие института развода тесно связано с положением женщины в обществе. Известно, что в Сасанидский период, в соответствии с древними обычаями, статус женщины был формальным, она не имела прав как полноправный человек. Женщина рассматривалась в качестве объекта, она входила в состав имущества мужчины, которые имел на нее имущественные права. Ни о каких правах женщины речи не было1. Женщина в семье находилась под защитой главы семьи - отца или мужа. В случае их смерти, она переходила во власть их преемников. Власть главы семьи не ограничивалась, и ему разрешалось всё.</w:t>
      </w:r>
    </w:p>
    <w:p w14:paraId="6DBAD1D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Все подарки, которые получала женщина, деньги, выплачиваемые за труд женщины, принадлежали главе семьи. Она не могла использовать «свое собственное» имущество2.</w:t>
      </w:r>
    </w:p>
    <w:p w14:paraId="331155B6"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 семейных отношениях права мужчины были также неограниченны, он мог жениться на нескольких женщинах, жить с ними одновременно. Полномочия мужчины на заключение брака с несколькими женщинами зависели лишь от его финансовых возможностей. Мужчины, которые имели высокие финансовые возможности, держали гаремы с женщинами1. Естественно, эти обстоятельства не могли не отражаться и на институте развода.</w:t>
      </w:r>
    </w:p>
    <w:p w14:paraId="3B1205E7"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 древней Персии не существовало развода в современном понимании. Женщина не имела права на развод, если муж отказался от нее. Она получала право жить и действовать самостоятельно. Развод означал предоставление женщине права жить самостоятельно.</w:t>
      </w:r>
    </w:p>
    <w:p w14:paraId="3D794024"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 этом случае женщина могла выйти замуж еще раз, но она не имела статуса разведенной женщины. Она получала право выйти замуж. В новом браке женщина становилась «служанкой» нового мужа. Дети, рожденные в новом браке в течение жизни первого мужа, принадлежали первому мужу. Поэтому женщина все еще оставалась под защитой, наблюдением и властью своего первого мужа2.</w:t>
      </w:r>
    </w:p>
    <w:p w14:paraId="6F9E7B05"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Особенностями обладал развод в период зороастризма. Так, развод брака подшохзан производился по согласию жены. Без согласия жены брак расторгался в следующих случаях: 1) При проступке неповиновения, если это подтверждается в суде перед мобедами; 2) Если женщина занимается колдовством; 3) Если совершает правонарушение религиозного характера; 4) В случае бесплодия в течение 10 лет со дня заключения брака3. А. Мазохири выделяет следующие основания прекращения полноправного брака: 1) при прелюбодеянии, измене, как жены, так и мужа; 2) когда женщина скрывает время своей женской болезни; 3) когда женщина занимается колдовством; 4) когда женщина бесплодна.1 Как мы видим, основанием для одностороннего развода в доисламский период являлось виновное поведение жены. Большинство исследователей считают, что зороастризм настолько ограничивал права супругов на развод, что в случае применения развода вне пределов указанных оснований предусматривалась смертная казнь2. А.Г. Халиков отмечает, что этот период </w:t>
      </w:r>
      <w:r>
        <w:rPr>
          <w:rFonts w:ascii="Verdana" w:hAnsi="Verdana"/>
          <w:color w:val="000000"/>
          <w:sz w:val="18"/>
          <w:szCs w:val="18"/>
        </w:rPr>
        <w:lastRenderedPageBreak/>
        <w:t>характеризуется направленностью правовых норм на сохранение семьи и развитие семейных отношений3.</w:t>
      </w:r>
    </w:p>
    <w:p w14:paraId="2DE255C5"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Как мы видим, законы, относящиеся к разводу, под воздействием социальных условий в обществе, всегда менялись и преобразовывались. На современном этапе развития общества первый закон, который предусматривал специальное регулирование вопросов семьи, был подписан в 1967 году, и был назван «Закон по защите семьи». До него, другие законы, относящиеся к семье, существовали в разбросанном виде. В Закон 1967 года были внесены такие новеллы, как ограничение компетенций мужчин в разводе, расширение пунктов требований женщин в разводе, ограничение компетенций мужчин для повторной женитьбы, и несколько других модернизированных пунктов. До подписания этого Закона в 1967 году, мужчины имели право иметь 4 жены и неограниченное количество временных браков, а этот закон обязал мужчин для повторного брака получать специальное разрешение от судебного органа. В 1974 году Парламент внес поправки в «Закон по защите семьи». 1967 года, и в итоге в этот Закон были внесены дополнения. Проблема права супруга на развод была поднята в момент образования Исламской Республики Иран.</w:t>
      </w:r>
    </w:p>
    <w:p w14:paraId="5F013038" w14:textId="77777777" w:rsidR="00957CEE" w:rsidRDefault="00957CEE" w:rsidP="00957CEE">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Отличие расторжения брака от признания брака недействительным</w:t>
      </w:r>
    </w:p>
    <w:p w14:paraId="4BA3C363"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Во многих случаях их финансовая самодостаточность создает условия для их отделения от своих супругов1. На самом деле компонент финансовой самодостаточности у женщин, в некоторых случаях, был причиной утраты их важнейшей необходимости в мужчинах и ускорил их тягу к разводу или принятие решения о разводе. Другая группа экспертов считает, что причинами увеличения разводов являются классовые различия, отсутствие взаимопонимания, вмешательство других, финансовые проблемы семьи, наркотическая зависимость членов семьи. Также, нам необходимо указать на еще одну точку зрения специалистов в области социологии. Эта группа ученых предполагают, что именно то обстоятельство, что развод перестал считаться в обществе чем-то неприличным, в течение последних двадцати лет является причиной увеличения разводов2. Более того, многие семьи воспринимали раньше развод как очень неблагоприятное и предосудительное явление, и если развод все же происходил, он был равносилен перелому в жизни; такое восприятие развода и сегодня встречается в некоторых небольших социумах. Тем не менее, растущее сознание населения подталкивает семьи к продолжению совместной жизни, даже несмотря на очень неблагоприятные условия и раздоры, ну а если супруги действительно становятся пленниками своих семей, то, чтобы не разрушить свою жизнь, возможно, предпочтут развод. С точки зрения социологии, современное влияние, которое радикально пропагандирует личную жизнь, стало одной из важнейших причин увеличения числа разводов в последние годы. Там, где общество думает только о своих личных удовольствиях, не будет придаваться особого значения теплым семейным отношениям. Но, наук, 1376/1997. С. 35. (на перс. яз.). изучая причины и последствия развода в Иране, мы вновь сталкиваемся с тем, что, по неясным и неприемлемым причинам, эта проблема остается не озвученной, и даже посредством СМИ этот вопрос не был отражен.</w:t>
      </w:r>
    </w:p>
    <w:p w14:paraId="648B8E25"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Правда в том, что большой объем разводов, происходивших между супругами в Иране, имеет корни в неосведомленности о половых особенностях мужчины и женщины. Большое количество молодежи из-за отсутствия правильной и достаточной информации об отношениях между </w:t>
      </w:r>
      <w:r>
        <w:rPr>
          <w:rFonts w:ascii="Verdana" w:hAnsi="Verdana"/>
          <w:color w:val="000000"/>
          <w:sz w:val="18"/>
          <w:szCs w:val="18"/>
        </w:rPr>
        <w:lastRenderedPageBreak/>
        <w:t>супругами в браке, что является важнейшей частью совместного проживания, постепенно ушло из области роли супругов и создало предпосылки для развода. В нашей стране, по некоторым причинам, говорится очень мало об отношениях супругов в браке, поэтому уровень разводов идет вверх. Доктор М . Маджад, член научного совета Медицинского университета Ирана и основатель первого Центра половой консультации в нашей стране, считает, что такого рода информация должна транслироваться через телеканалы: «Семейные консультанты пришли к выводу, что многие из проблем в жизни молодоженов, приводящие семьи к разводу, происходят из-за отсутствия информации и достаточных знаний в области межполовых взаимоотношений1. В этой связи мы стараемся при помощи проведения различных заседаний и форумов, простым языком и правильными примерами, распространить информацию, для того чтобы уровень недовольства снизился». Доктор М. Маджад считает, что другой проблемой этой области является обмен информацией по этой проблеме на научном языке. Как бы ни обстояли дела, необходимо чтобы молодой человек, прежде чем заключить здоровый и приемлемый обществом брак, собрал и изучил всю необходимую информацию о межполовых взаимоотношениях. По мнению доктора М. Маджада и многих других специалистов этой области, здоровые,</w:t>
      </w:r>
    </w:p>
    <w:p w14:paraId="58D911D5"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Речь доктора М. Маджада за 2015 г. URL: http://reutem.rapin.ir/- (дата обращения: 12.06.2015). правильные и соответствующие отношения между полами на 60 – 70% обеспечивают счастливый брак1.</w:t>
      </w:r>
    </w:p>
    <w:p w14:paraId="1A8E03E7"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Исследование данных 450 официально разведенных женщин показало, что на момент официальной регистрации развода их возраст составлял: 10 % (45 чел.) из них были моложе 20 лет, возраст 45,1 % (203 чел.) из них был между 26 и 35 годами, 32,7 % (147 чел.) - между 32 и 45годами, 12 % (55 чел.) - за 46 лет. Местом рождения 3,2 % (241 чел.) из этой группы являлся г. Тегеран, 29.8 % (134 чел.) родились в других городах Ирана, и остальные 16,7 % (75 чел.) были уроженками сельской местности. В общей сложности из этой группы из 450 разведенных женщин 5,6 % (110 чел.) в браке жили от 1 до 5 лет, 39.9 % (139 чел.) - от 6 до 10 лет, остальные 54, 5% женщин (201 чел.) жили в браке от 11 до 15 лет. Полученные данные свидетельствуют о связи между причинами развода и имущественным положением разведенных женщин. Так, среди женщин, сталкивающихся с финансовыми трудностями, основными причинами разводов являются материальные проблемы, безработица, отсутствие материальной поддержки со стороны супруга, наркомания, насилие, грубость и неприемлемое поведение супруга.</w:t>
      </w:r>
    </w:p>
    <w:p w14:paraId="5538817E" w14:textId="77777777" w:rsidR="00957CEE" w:rsidRDefault="00957CEE" w:rsidP="00957CEE">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Право на развод жены – как диспозитивное условие брачного договора</w:t>
      </w:r>
    </w:p>
    <w:p w14:paraId="73CCB10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Условия были отмечены в двух разделах: «А» и «Б». В разделе «А» говорится о материальном взыскании с мужа, расторгнувшего брак без уважительной на то причины. В разделе «Б» говорится об условиях договора, нарушение которых влечет появление у жены субъективного права на обращение в суд с заявлением на расторжение брака. Далее рассмотрим положение об имущественных отношениях между супругами и о разводе.</w:t>
      </w:r>
    </w:p>
    <w:p w14:paraId="0EB0A68D"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соответствии с разделом «А», в случае выступления в качестве инициатора развода мужа и признания судом причины развода неуважительной (то есть причиной является не уклонение жены от супружеских обязанностей и не плохое отношение ее к мужу), муж обязан разделить с женой половину совместно нажитого имущества или выплатить равную ему сумму. Положениями раздела «А» являются:</w:t>
      </w:r>
    </w:p>
    <w:p w14:paraId="29F22180"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1. Подписи сторон на то или иное условие при подписании брачного договора. Если супруги, в особенности муж, как сторона, принимающая условие, не подпишут поставленное условие, раздел имущества в случае развода не будет произведен.</w:t>
      </w:r>
    </w:p>
    <w:p w14:paraId="48FC00C5"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2. Инициатором развода должна быть не жена; для получения женой привилегий инициатором развода должен быть муж. В случае согласованного супругами развода оговариваются все финансовые права и вопросы, и не остается причины решать их в судебном порядке согласно разделу «А» и положению о разделе имущества. В случае же, когда жена становится инициатором развода, она лишается привилегий в отношении раздела имущества.</w:t>
      </w:r>
    </w:p>
    <w:p w14:paraId="06B6542C"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3. Отсутствие факта плохого отношения жены к мужу указывает на недостаточность выступления мужа инициатором развода; требуется также, чтобы причиной развода было неудовлетворительное отношение жены к мужу. Если жена не выполняет свои обязанности перед мужем, суд засчитывает это как плохое отношение жены к мужу, и право о разделе имущества в случае развода на нее не распространяется.</w:t>
      </w:r>
    </w:p>
    <w:p w14:paraId="1BC7BDDB"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4. В разделе «А» не указано время, в течение которого имущество должно быть разделено, а также не предусмотрены требования к форме подачи заявления жены. Потому что, во-первых: краткое содержание раздела сводится к тому, что суд, признав невозможность примирения супругов, принимает решение о разделе имущества и при условии оплаты производит бракоразводный процесс. Но раздел имущества является сложной процедурой, требующей соблюдения юридических формальностей, подачи иска и рассмотрения его судом. Во-вторых, если мужу удастся договориться о размере совместно нажитого имущества с женой, возможны два варианта раздела: -предоставить жене что-либо равное сумме половины совместно нажитого имущества, что требует соблюдения регистрационных формальностей, в особенности в случае покупки недвижимого имущества, к примеру, машины; - предоставить эквивалент совместно нажитого имущества или сумму равную ему, что также требует соблюдения некоторых формальностей.</w:t>
      </w:r>
    </w:p>
    <w:p w14:paraId="58CB31EE"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Однако в любом из этих случаев раздел имущества необходимо сделать после процесса развода, так как в случае, если муж передумает расторгать брак или же вернет жену в течение срока идды, раздел имущества и передача половины жене окажется беспричинным.</w:t>
      </w:r>
    </w:p>
    <w:p w14:paraId="06475A38"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По нашему мнению, вопрос о разделе совместно нажитого имущества должен решаться после истечения срока идды и должен иметь сроки исковой защиты. В данном случае необходимо обратиться к семейному законодательству Республики Таджикистан, где к требованиям разведенных супругов о разделе общего имущества супругов, нажитого ими в период брака, применяется трехлетний срок исковой давности (ст. 38 СК РТ). Срок исковой давности для раздела общего </w:t>
      </w:r>
      <w:r>
        <w:rPr>
          <w:rFonts w:ascii="Verdana" w:hAnsi="Verdana"/>
          <w:color w:val="000000"/>
          <w:sz w:val="18"/>
          <w:szCs w:val="18"/>
        </w:rPr>
        <w:lastRenderedPageBreak/>
        <w:t>совместного имущества, равный 3 годам и сроку идды, должен быть предусмотрен и в гражданском законодательстве ИРИ.</w:t>
      </w:r>
    </w:p>
    <w:p w14:paraId="7A5CD940"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 разделе «Б» указаны двенадцать случаев, когда жена может обратиться в суд с исковым заявлением о расторжении брака. Наряду с указанным условием также необходимо следующее:</w:t>
      </w:r>
    </w:p>
    <w:p w14:paraId="57077452"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Подписи супругов; супруг может подтвердить основание иска жены на развод и подписать его, но также имеет право отказаться. Для осуществления развода на основании одного из указанных в разделе положений подпись мужа является обязательным условием осуществления развода.</w:t>
      </w:r>
    </w:p>
    <w:p w14:paraId="5406423B"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Доказательство нарушения или осуществления условия. Вывод суда о невозможности примирения супругов; в случае обоюдного решения супругов о расторжении брака, они должны предъявить суду исковое заявление о расторжении брака. Суд в свою очередь обязан принять меры к примирению супругов, а в случае установления невозможности примирения суд направляет постановление суда о расторжении брака в Государственную регистрационную службу для регистрации акта о расторжении брака.</w:t>
      </w:r>
    </w:p>
    <w:p w14:paraId="0F27C67A"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Обращение в Государственную регистрационную службу для регистрации акта расторжения брака; документ о решении суда о невозможности примирения супругов вместе с заявлением о расторжении брака должен быть предоставлен в Государственную регистрационную службу в течение 3-х месяцев с момента выдачи.</w:t>
      </w:r>
    </w:p>
    <w:p w14:paraId="03F5DF2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Первым условием, при котором жена получает право на расторжение брака, является уклонение мужа от материального содержания (нафака) жены или выполнения своих обязанностей перед ней в течение 6-ти месяцев.</w:t>
      </w:r>
    </w:p>
    <w:p w14:paraId="0A7EDB26"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Нафака означает обеспечение жены мужем едой, одеждой, жильем и другими необходимыми вещами, примерно на том же уровне и в количестве, в котором она получала его раньше. О необходимости нафака свидетельствуют аяты Корана, хадисы и иджма исламских правоведов. Согласно статье 1107 Гражданского закона, к нафака относится: «…жилье, одежда, еда, домашние принадлежности, соизмеримые с прежним положением жены, и предоставление прислуги в случае, если жена привыкла к услугам прислуги, или по причине состояния ее здоровья и нужды в прислуге. В отношении обязательности предоставления прислуги гражданское право не учло материальное состояние мужа; за исключением случаев, когда жена нуждается в прислуге по состоянию здоровья, остальные случаи, такие как предоставление прислуги жене по причине того, что в доме отца она т о ж е имела прислугу, является несколько необдуманным. Поскольку при выборе мужа жена дает согласие, учитывая его материальное положение, она должна подготовить себя к новым материальным условиям совместной жизни с супругом. В соответствии со статьей 1104 Гражданского закона Ирана, супруги должны прилагать совместные усилия для укрепления семейных отношений, однако требование от неимущего мужа обеспечения прислугой противоречит положению данной статьи. К тому же большинство общества не считает наличие прислуги жизненно необходимым условием.</w:t>
      </w:r>
    </w:p>
    <w:p w14:paraId="3FA9FD92"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 связи со стремительными переменами в жизни человека и его постоянно растущими потребностями, нельзя ограничивать положения о нафаке одной лишь статьей 1107 Гражданского закона. Муж как глава семьи должен нести ответственность за пропитание своей жены и своих детей. Жизненные перемены приносят новые потребности. И эти потребности нельзя ограничить определенными рамками. В скором времени разбирательства супругов в третейских судах будут неизбежно вживаться в традицию. Аят Священного Корана: «Обходитесь с вашими женами достойно» можно рассматривать как подтверждение этого мнения. Таким образом, можно сказать, что нафака – это обеспечение жены всем необходимым, размер которого определяется в соответствии с нормами общества и с учетом положения жены.</w:t>
      </w:r>
    </w:p>
    <w:p w14:paraId="7771AFCA"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Обязательность нафаки для мужа не обуславливается потребностью в ней жены, и сколько бы жена не была имущей, в случае наличия брачного договора и выполнения своих обязанностей перед супругом нафака остается обязательством мужа.</w:t>
      </w:r>
    </w:p>
    <w:p w14:paraId="5F71CBD9" w14:textId="77777777" w:rsidR="00957CEE" w:rsidRDefault="00957CEE" w:rsidP="00957CEE">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Особенности процедуры развода в Исламской Республике Иран и Республике Таджикистан</w:t>
      </w:r>
    </w:p>
    <w:p w14:paraId="2BA61A3A"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Проведенное исследование расторжение брака в Исламской Республике Иран в историческом, сравнительно-правовом аспекте показало, что на сегодняшний день в стране назрела необходимость разработки юридически обоснованной системы мероприятий, направленных на преодоление разводов и укрепление семьи.</w:t>
      </w:r>
    </w:p>
    <w:p w14:paraId="1E48E71C"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Распад семьи легче предотвратить, чем бороться с ним на более поздних стадиях. Для этого необходимо совершенствовать законодательство, регулирующее вопросы, связанные с расторжением брака, и провести ряд крупных мероприятий государственного масштаба.</w:t>
      </w:r>
    </w:p>
    <w:p w14:paraId="6DD6CDF3"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По нашему мнению, стабилизация семейных отношений и укрепление семьи невозможны без комплексных мер. Одно лишь совершенствование законодательства без создания определенных условий и предпосылок не позволить достичь необходимого результата.</w:t>
      </w:r>
    </w:p>
    <w:p w14:paraId="64A7C6A1"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Поэтому нами предлагается определенный комплекс мероприятий, направленных на предотвращение разводов, который мы классифицировали на два направления: государственная программа и внутрисемейные частные методы, которые разделены нами на группы:</w:t>
      </w:r>
    </w:p>
    <w:p w14:paraId="137C094C"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Государственные мероприятия включают в себя организационные (профилактические) и идеологические механизмы.</w:t>
      </w:r>
    </w:p>
    <w:p w14:paraId="187D774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Организационные (профилактические) пути преодоления расторжения брака, с целью формирования прочности и долговечности брачного союза: -создание образовательных курсов для лиц, вступающих в брак, по направлениям: основы права, религиоведение, психология, медицина. -организация курсов для обучения будущих супругов основам права, психологии семейной жизни с целью их подготовки к принятию ответственности за свою роль в семье; - организация бесплатных социальных консультативных центров для семей (консультантами выступят религиозные деятели, психологи, юристы и социальные работники); - улучшение условий жизни семьи и </w:t>
      </w:r>
      <w:r>
        <w:rPr>
          <w:rFonts w:ascii="Verdana" w:hAnsi="Verdana"/>
          <w:color w:val="000000"/>
          <w:sz w:val="18"/>
          <w:szCs w:val="18"/>
        </w:rPr>
        <w:lastRenderedPageBreak/>
        <w:t>совершенствование системы социального обеспечения; - предоставление доступных услуг уязвимым семьям в обществе; - реформирование системы регистрации брака и развода, особенно в депрессивных районах; - создание механизма контроля нерегулируемой миграции из сельских районов и малых городов в крупные города; - развитие проектов по предотвращению насилия в семье в сотрудничестве с неправительственными организациями; -создание возможностей трудоустройства и расширение страховой защиты женщин; -создание государственных семейных образовательных программ по медицинским и психологическим вопросам, различию между мужчинами и женщинами, этическим проблемам и правилам брака и развода, потому что многие пары сталкиваются после вступления в брак с новыми вопросами, и чтобы решить эти проблемы, они должны быть осведомлены об их существовании.</w:t>
      </w:r>
    </w:p>
    <w:p w14:paraId="2055FAB9"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Организационные мероприятия тесно связаны с формированием идеологии укрепления семьи, которая включает в себя: - продвижение культуры семейной жизни и осознания необходимости быть подготовленным к семейной жизни, уважения прав другого супруга, ответственности перед семьей; -создание стратегии совершенствования функционирования семьи; - разрешение споров путем участия посредников (медиаторов) в консультативных центрах; 157 -укрепление основ религии и религиозных и этических ценностей в обществе; -создание идеи о необходимости знакомства перед браком с целью выявления соответствия по характеру, моральным и поведенческим особенностям; -отрицание патриархальной семьи посредством образования и правильного полового воспитания; -предотвращение и осуждение многоженства, вмешательства родителей в жизнь детей, принудительных браков детей; -поощрение традиционного брака; -исправление и улучшение правового, нравственного и образовательного идеалов семьи на основе принципов исламской культуры. Кроме государственных механизмов важное значение имеют внутрисемейные механизмы укрепления семьи, которые должны получить популяризацию через средства массовой информации.</w:t>
      </w:r>
    </w:p>
    <w:p w14:paraId="1D803E76"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Взаимное уважение супругов формируется в результате бесед, выделения времени для духовного общения (преподнесения друг другу подарков), отнесения супруга к числу лучших друзей, обсуждения семейных проблем только с супругом, недопущения третьих лиц в обсуждение семейных дел, контроля за своим характером и вспыльчивостью, необходимости соотнесения своих поступков в семье и обществе с критериями Божьей справедливости, взаимных уступок и прощения. Данные ценности должны постоянно учитываться при создании телевизионных и радиопередач, художественных фильмов и др.</w:t>
      </w:r>
    </w:p>
    <w:p w14:paraId="5BE8F1A2" w14:textId="77777777" w:rsidR="00957CEE" w:rsidRDefault="00957CEE" w:rsidP="00957CE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Если развод будет зависеть от женщины, то у неё будет больше возможностей воспользоваться этим правом, и семейный подвергнется разрушению. Наоборот, если развод будет зависеть от мужа, он сравнительно меньше злоупотребит своими правами, ибо после расторжения брака по шариату на мужа ложатся тяжелые последствия - уплата калыма, опекунство над детьми и т.д. Поэтому муж реже решается на развод. Но в тех обществах, где высока степень моральной деградации, где царят разгул, разврат и неограниченная половая свобода, удовлетворение полового инстинкта становится легким делом, и там развод со стороны мужа преобладает. Ислам для ограничения прав мужчин использует два влиятельных фактора. Один из них - моральное воспитание, укрепление основ веры в Аллаха, твердое соблюдение религиозных предписаний, </w:t>
      </w:r>
      <w:r>
        <w:rPr>
          <w:rFonts w:ascii="Verdana" w:hAnsi="Verdana"/>
          <w:color w:val="000000"/>
          <w:sz w:val="18"/>
          <w:szCs w:val="18"/>
        </w:rPr>
        <w:lastRenderedPageBreak/>
        <w:t>другой - создание препятствий и чрезвычайно сложных условий для развода. Вместе они обладают такой силой, что в состоянии остановить и предотвратить развод. По нашему мнению, следует учитывать следующее: 1 . Возрастн ая разница между мужем и женой не должна быть большой; 2. Молодые не должны быть обманутыми богатством и положением старых женщин; 3. Родители жениха от невесты и родители невесты от жениха не должны ожидать ничего плохого, потому что именно это явление подталкивает родителей к вмешательству в жизнь молодых, и это приводит к ссорам и разногласиям; 4. Невежество и малограмотность супругов, проживающих в сельской местности, потому что разводов между такими супругами происходит больше, чем среди горожан, потому что образованные родители знают и могут объяснить своим детям все опасные последствия развода;</w:t>
      </w:r>
    </w:p>
    <w:p w14:paraId="60BE50FC" w14:textId="77777777" w:rsidR="00957CEE" w:rsidRPr="00957CEE" w:rsidRDefault="00957CEE" w:rsidP="00957CEE"/>
    <w:sectPr w:rsidR="00957CEE" w:rsidRPr="00957CE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B1650" w14:textId="77777777" w:rsidR="001D6355" w:rsidRDefault="001D6355">
      <w:pPr>
        <w:spacing w:after="0" w:line="240" w:lineRule="auto"/>
      </w:pPr>
      <w:r>
        <w:separator/>
      </w:r>
    </w:p>
  </w:endnote>
  <w:endnote w:type="continuationSeparator" w:id="0">
    <w:p w14:paraId="4958C561" w14:textId="77777777" w:rsidR="001D6355" w:rsidRDefault="001D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72B2" w14:textId="77777777" w:rsidR="001D6355" w:rsidRDefault="001D6355">
      <w:pPr>
        <w:spacing w:after="0" w:line="240" w:lineRule="auto"/>
      </w:pPr>
      <w:r>
        <w:separator/>
      </w:r>
    </w:p>
  </w:footnote>
  <w:footnote w:type="continuationSeparator" w:id="0">
    <w:p w14:paraId="7CD53BD7" w14:textId="77777777" w:rsidR="001D6355" w:rsidRDefault="001D6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1"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15:restartNumberingAfterBreak="0">
    <w:nsid w:val="00961F33"/>
    <w:multiLevelType w:val="multilevel"/>
    <w:tmpl w:val="62E688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33BE4616"/>
    <w:multiLevelType w:val="multilevel"/>
    <w:tmpl w:val="E4DA1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6"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4847C0"/>
    <w:multiLevelType w:val="multilevel"/>
    <w:tmpl w:val="CC9AE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A390C1D"/>
    <w:multiLevelType w:val="multilevel"/>
    <w:tmpl w:val="D0C0F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4"/>
  </w:num>
  <w:num w:numId="7">
    <w:abstractNumId w:val="27"/>
  </w:num>
  <w:num w:numId="8">
    <w:abstractNumId w:val="29"/>
  </w:num>
  <w:num w:numId="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C87"/>
    <w:rsid w:val="00014CFF"/>
    <w:rsid w:val="000154AA"/>
    <w:rsid w:val="000154FB"/>
    <w:rsid w:val="000155F6"/>
    <w:rsid w:val="00015825"/>
    <w:rsid w:val="00016286"/>
    <w:rsid w:val="000162D4"/>
    <w:rsid w:val="000163F0"/>
    <w:rsid w:val="0001683F"/>
    <w:rsid w:val="000169F6"/>
    <w:rsid w:val="00016D0D"/>
    <w:rsid w:val="00017420"/>
    <w:rsid w:val="00017823"/>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8B6"/>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37B3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B15"/>
    <w:rsid w:val="00054DF2"/>
    <w:rsid w:val="00056407"/>
    <w:rsid w:val="00056499"/>
    <w:rsid w:val="000565B6"/>
    <w:rsid w:val="000568B7"/>
    <w:rsid w:val="00056A0E"/>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7CC"/>
    <w:rsid w:val="000700D4"/>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55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3"/>
    <w:rsid w:val="000F2AAD"/>
    <w:rsid w:val="000F2AF9"/>
    <w:rsid w:val="000F2C40"/>
    <w:rsid w:val="000F2C43"/>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F72"/>
    <w:rsid w:val="001024DB"/>
    <w:rsid w:val="0010299D"/>
    <w:rsid w:val="00102A49"/>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60C"/>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6CCB"/>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70A"/>
    <w:rsid w:val="00150866"/>
    <w:rsid w:val="00150DA9"/>
    <w:rsid w:val="00151318"/>
    <w:rsid w:val="00151A7F"/>
    <w:rsid w:val="00151BB9"/>
    <w:rsid w:val="0015208E"/>
    <w:rsid w:val="001525B8"/>
    <w:rsid w:val="001528BF"/>
    <w:rsid w:val="00153005"/>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E4C"/>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04"/>
    <w:rsid w:val="0017245B"/>
    <w:rsid w:val="0017287B"/>
    <w:rsid w:val="00172CDA"/>
    <w:rsid w:val="00173163"/>
    <w:rsid w:val="00173464"/>
    <w:rsid w:val="0017352C"/>
    <w:rsid w:val="00173911"/>
    <w:rsid w:val="00174007"/>
    <w:rsid w:val="00174702"/>
    <w:rsid w:val="0017475F"/>
    <w:rsid w:val="0017495E"/>
    <w:rsid w:val="00175BA9"/>
    <w:rsid w:val="001764AB"/>
    <w:rsid w:val="00176656"/>
    <w:rsid w:val="001769F4"/>
    <w:rsid w:val="00176AC0"/>
    <w:rsid w:val="00176DDD"/>
    <w:rsid w:val="00176E0E"/>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F7F"/>
    <w:rsid w:val="001D50DA"/>
    <w:rsid w:val="001D5A1B"/>
    <w:rsid w:val="001D5B62"/>
    <w:rsid w:val="001D6013"/>
    <w:rsid w:val="001D60E9"/>
    <w:rsid w:val="001D6355"/>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19E"/>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DC4"/>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660"/>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DFE"/>
    <w:rsid w:val="002A5E3A"/>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5374"/>
    <w:rsid w:val="002D5725"/>
    <w:rsid w:val="002D5F75"/>
    <w:rsid w:val="002D62A3"/>
    <w:rsid w:val="002D6745"/>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819"/>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2EE"/>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9F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1E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B86"/>
    <w:rsid w:val="003D7810"/>
    <w:rsid w:val="003D79FF"/>
    <w:rsid w:val="003D7EED"/>
    <w:rsid w:val="003E0776"/>
    <w:rsid w:val="003E0802"/>
    <w:rsid w:val="003E0BA1"/>
    <w:rsid w:val="003E0DA4"/>
    <w:rsid w:val="003E0F99"/>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0A2"/>
    <w:rsid w:val="003E7587"/>
    <w:rsid w:val="003E78EB"/>
    <w:rsid w:val="003E798B"/>
    <w:rsid w:val="003E7BE7"/>
    <w:rsid w:val="003E7E69"/>
    <w:rsid w:val="003F06E6"/>
    <w:rsid w:val="003F0898"/>
    <w:rsid w:val="003F0C90"/>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342"/>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522"/>
    <w:rsid w:val="00466573"/>
    <w:rsid w:val="00466A9A"/>
    <w:rsid w:val="00466D82"/>
    <w:rsid w:val="004671BE"/>
    <w:rsid w:val="0046782D"/>
    <w:rsid w:val="0047007D"/>
    <w:rsid w:val="00470424"/>
    <w:rsid w:val="0047052E"/>
    <w:rsid w:val="0047063B"/>
    <w:rsid w:val="00471640"/>
    <w:rsid w:val="00471C95"/>
    <w:rsid w:val="004722CF"/>
    <w:rsid w:val="004722FD"/>
    <w:rsid w:val="0047244C"/>
    <w:rsid w:val="00472A25"/>
    <w:rsid w:val="00472BA5"/>
    <w:rsid w:val="00472CFB"/>
    <w:rsid w:val="004744BC"/>
    <w:rsid w:val="004749B9"/>
    <w:rsid w:val="00474BC2"/>
    <w:rsid w:val="0047501D"/>
    <w:rsid w:val="004750AB"/>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98D"/>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E4C"/>
    <w:rsid w:val="004D6F01"/>
    <w:rsid w:val="004D715A"/>
    <w:rsid w:val="004D7559"/>
    <w:rsid w:val="004E014C"/>
    <w:rsid w:val="004E0899"/>
    <w:rsid w:val="004E097A"/>
    <w:rsid w:val="004E0B6B"/>
    <w:rsid w:val="004E1DD1"/>
    <w:rsid w:val="004E1DD7"/>
    <w:rsid w:val="004E1E15"/>
    <w:rsid w:val="004E2465"/>
    <w:rsid w:val="004E2845"/>
    <w:rsid w:val="004E2920"/>
    <w:rsid w:val="004E29CB"/>
    <w:rsid w:val="004E2A98"/>
    <w:rsid w:val="004E2EA9"/>
    <w:rsid w:val="004E3230"/>
    <w:rsid w:val="004E32D0"/>
    <w:rsid w:val="004E35D2"/>
    <w:rsid w:val="004E4669"/>
    <w:rsid w:val="004E469E"/>
    <w:rsid w:val="004E49DB"/>
    <w:rsid w:val="004E5461"/>
    <w:rsid w:val="004E5631"/>
    <w:rsid w:val="004E5C9B"/>
    <w:rsid w:val="004E5CDA"/>
    <w:rsid w:val="004E5FA4"/>
    <w:rsid w:val="004E604D"/>
    <w:rsid w:val="004E62A0"/>
    <w:rsid w:val="004E6914"/>
    <w:rsid w:val="004E6D9A"/>
    <w:rsid w:val="004E7038"/>
    <w:rsid w:val="004E7770"/>
    <w:rsid w:val="004E7993"/>
    <w:rsid w:val="004E7E0E"/>
    <w:rsid w:val="004E7FAE"/>
    <w:rsid w:val="004F00EA"/>
    <w:rsid w:val="004F043C"/>
    <w:rsid w:val="004F075D"/>
    <w:rsid w:val="004F0895"/>
    <w:rsid w:val="004F0C5F"/>
    <w:rsid w:val="004F10C8"/>
    <w:rsid w:val="004F1AA5"/>
    <w:rsid w:val="004F232C"/>
    <w:rsid w:val="004F298C"/>
    <w:rsid w:val="004F2DD1"/>
    <w:rsid w:val="004F31DF"/>
    <w:rsid w:val="004F3B75"/>
    <w:rsid w:val="004F3D4F"/>
    <w:rsid w:val="004F479A"/>
    <w:rsid w:val="004F4F69"/>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46B1"/>
    <w:rsid w:val="005366E4"/>
    <w:rsid w:val="005369AB"/>
    <w:rsid w:val="00536AFC"/>
    <w:rsid w:val="00536D4B"/>
    <w:rsid w:val="00536E1F"/>
    <w:rsid w:val="00537988"/>
    <w:rsid w:val="005401E8"/>
    <w:rsid w:val="005402E5"/>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6D8"/>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CAD"/>
    <w:rsid w:val="0057547B"/>
    <w:rsid w:val="00575C2E"/>
    <w:rsid w:val="005760A5"/>
    <w:rsid w:val="00576466"/>
    <w:rsid w:val="00577A4D"/>
    <w:rsid w:val="00577EEF"/>
    <w:rsid w:val="00580353"/>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C6"/>
    <w:rsid w:val="00595BB7"/>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2DB"/>
    <w:rsid w:val="005C28A7"/>
    <w:rsid w:val="005C2D32"/>
    <w:rsid w:val="005C2D6A"/>
    <w:rsid w:val="005C2D84"/>
    <w:rsid w:val="005C2DDD"/>
    <w:rsid w:val="005C339F"/>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C66"/>
    <w:rsid w:val="005E3D7E"/>
    <w:rsid w:val="005E3ECB"/>
    <w:rsid w:val="005E3F08"/>
    <w:rsid w:val="005E44C5"/>
    <w:rsid w:val="005E54F3"/>
    <w:rsid w:val="005E5666"/>
    <w:rsid w:val="005E5F0A"/>
    <w:rsid w:val="005E5F2E"/>
    <w:rsid w:val="005E60DB"/>
    <w:rsid w:val="005E66BB"/>
    <w:rsid w:val="005E6BCA"/>
    <w:rsid w:val="005E6DFA"/>
    <w:rsid w:val="005E710D"/>
    <w:rsid w:val="005E72A7"/>
    <w:rsid w:val="005E792C"/>
    <w:rsid w:val="005E7A73"/>
    <w:rsid w:val="005E7D40"/>
    <w:rsid w:val="005F03A8"/>
    <w:rsid w:val="005F06B9"/>
    <w:rsid w:val="005F090F"/>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08D"/>
    <w:rsid w:val="00620927"/>
    <w:rsid w:val="00621337"/>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7AC"/>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296"/>
    <w:rsid w:val="0068434F"/>
    <w:rsid w:val="00685095"/>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48F"/>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149D"/>
    <w:rsid w:val="006C189A"/>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623"/>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27ACE"/>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4268"/>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05D"/>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C80"/>
    <w:rsid w:val="00804F43"/>
    <w:rsid w:val="0080562D"/>
    <w:rsid w:val="00806790"/>
    <w:rsid w:val="008068D1"/>
    <w:rsid w:val="00806B20"/>
    <w:rsid w:val="00806C16"/>
    <w:rsid w:val="00806F7B"/>
    <w:rsid w:val="00807254"/>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AB2"/>
    <w:rsid w:val="00823C8C"/>
    <w:rsid w:val="0082405B"/>
    <w:rsid w:val="008242B4"/>
    <w:rsid w:val="00825152"/>
    <w:rsid w:val="00825292"/>
    <w:rsid w:val="008252A5"/>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57E5A"/>
    <w:rsid w:val="00857FB3"/>
    <w:rsid w:val="008604F3"/>
    <w:rsid w:val="00860556"/>
    <w:rsid w:val="0086065F"/>
    <w:rsid w:val="0086066E"/>
    <w:rsid w:val="00860AF2"/>
    <w:rsid w:val="00860EDD"/>
    <w:rsid w:val="00861207"/>
    <w:rsid w:val="00861493"/>
    <w:rsid w:val="0086183F"/>
    <w:rsid w:val="00861A86"/>
    <w:rsid w:val="00862586"/>
    <w:rsid w:val="00862630"/>
    <w:rsid w:val="0086264B"/>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2F"/>
    <w:rsid w:val="008E3A5D"/>
    <w:rsid w:val="008E4107"/>
    <w:rsid w:val="008E454B"/>
    <w:rsid w:val="008E5699"/>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F10"/>
    <w:rsid w:val="0092358E"/>
    <w:rsid w:val="0092378C"/>
    <w:rsid w:val="00923979"/>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745"/>
    <w:rsid w:val="00933E3A"/>
    <w:rsid w:val="0093441E"/>
    <w:rsid w:val="00934A55"/>
    <w:rsid w:val="009352B8"/>
    <w:rsid w:val="00935B23"/>
    <w:rsid w:val="009360E1"/>
    <w:rsid w:val="0093612D"/>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BA"/>
    <w:rsid w:val="00952BC2"/>
    <w:rsid w:val="00953029"/>
    <w:rsid w:val="0095353D"/>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CE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4EE0"/>
    <w:rsid w:val="009A5258"/>
    <w:rsid w:val="009A5451"/>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AE"/>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C12"/>
    <w:rsid w:val="009E3FEE"/>
    <w:rsid w:val="009E40EC"/>
    <w:rsid w:val="009E4809"/>
    <w:rsid w:val="009E4C00"/>
    <w:rsid w:val="009E4E94"/>
    <w:rsid w:val="009E50AA"/>
    <w:rsid w:val="009E5614"/>
    <w:rsid w:val="009E5999"/>
    <w:rsid w:val="009E5C76"/>
    <w:rsid w:val="009E5D3B"/>
    <w:rsid w:val="009E67A0"/>
    <w:rsid w:val="009E6C4F"/>
    <w:rsid w:val="009E75FB"/>
    <w:rsid w:val="009F0086"/>
    <w:rsid w:val="009F01A3"/>
    <w:rsid w:val="009F0D7A"/>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6763"/>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6F02"/>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467"/>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2CF5"/>
    <w:rsid w:val="00A937B7"/>
    <w:rsid w:val="00A938AF"/>
    <w:rsid w:val="00A93AB7"/>
    <w:rsid w:val="00A93CA7"/>
    <w:rsid w:val="00A942FF"/>
    <w:rsid w:val="00A94381"/>
    <w:rsid w:val="00A94705"/>
    <w:rsid w:val="00A95463"/>
    <w:rsid w:val="00A9646C"/>
    <w:rsid w:val="00A966BC"/>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1A43"/>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02D"/>
    <w:rsid w:val="00AD22A3"/>
    <w:rsid w:val="00AD230C"/>
    <w:rsid w:val="00AD23DA"/>
    <w:rsid w:val="00AD356A"/>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6C2"/>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EC"/>
    <w:rsid w:val="00AF7E4C"/>
    <w:rsid w:val="00AF7EEA"/>
    <w:rsid w:val="00AF7F0C"/>
    <w:rsid w:val="00B0036E"/>
    <w:rsid w:val="00B00515"/>
    <w:rsid w:val="00B011E5"/>
    <w:rsid w:val="00B0174A"/>
    <w:rsid w:val="00B02B69"/>
    <w:rsid w:val="00B02B7F"/>
    <w:rsid w:val="00B0315F"/>
    <w:rsid w:val="00B03CB0"/>
    <w:rsid w:val="00B04048"/>
    <w:rsid w:val="00B04644"/>
    <w:rsid w:val="00B04713"/>
    <w:rsid w:val="00B05058"/>
    <w:rsid w:val="00B0510F"/>
    <w:rsid w:val="00B052D9"/>
    <w:rsid w:val="00B0576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5F5F"/>
    <w:rsid w:val="00B265B3"/>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DE7"/>
    <w:rsid w:val="00B31F79"/>
    <w:rsid w:val="00B3284F"/>
    <w:rsid w:val="00B32E0F"/>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22E0"/>
    <w:rsid w:val="00B8234E"/>
    <w:rsid w:val="00B82828"/>
    <w:rsid w:val="00B833EA"/>
    <w:rsid w:val="00B8362E"/>
    <w:rsid w:val="00B83656"/>
    <w:rsid w:val="00B83876"/>
    <w:rsid w:val="00B8396D"/>
    <w:rsid w:val="00B83F92"/>
    <w:rsid w:val="00B8418D"/>
    <w:rsid w:val="00B8431F"/>
    <w:rsid w:val="00B843E2"/>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20A"/>
    <w:rsid w:val="00B9157C"/>
    <w:rsid w:val="00B921FB"/>
    <w:rsid w:val="00B92557"/>
    <w:rsid w:val="00B9323B"/>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8B0"/>
    <w:rsid w:val="00B97C96"/>
    <w:rsid w:val="00B97DD1"/>
    <w:rsid w:val="00BA0021"/>
    <w:rsid w:val="00BA01D0"/>
    <w:rsid w:val="00BA074F"/>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81B"/>
    <w:rsid w:val="00BD3928"/>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038"/>
    <w:rsid w:val="00BF680B"/>
    <w:rsid w:val="00BF6DA7"/>
    <w:rsid w:val="00BF6F82"/>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8FD"/>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81A"/>
    <w:rsid w:val="00C359C7"/>
    <w:rsid w:val="00C36533"/>
    <w:rsid w:val="00C367D7"/>
    <w:rsid w:val="00C368F3"/>
    <w:rsid w:val="00C36CC4"/>
    <w:rsid w:val="00C37C32"/>
    <w:rsid w:val="00C37C38"/>
    <w:rsid w:val="00C37D77"/>
    <w:rsid w:val="00C37E63"/>
    <w:rsid w:val="00C37F89"/>
    <w:rsid w:val="00C40463"/>
    <w:rsid w:val="00C405BB"/>
    <w:rsid w:val="00C4084D"/>
    <w:rsid w:val="00C40864"/>
    <w:rsid w:val="00C41813"/>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47737"/>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9D8"/>
    <w:rsid w:val="00C66BF9"/>
    <w:rsid w:val="00C66FB6"/>
    <w:rsid w:val="00C67424"/>
    <w:rsid w:val="00C674E1"/>
    <w:rsid w:val="00C67541"/>
    <w:rsid w:val="00C701C6"/>
    <w:rsid w:val="00C701D2"/>
    <w:rsid w:val="00C705ED"/>
    <w:rsid w:val="00C70861"/>
    <w:rsid w:val="00C7092B"/>
    <w:rsid w:val="00C71457"/>
    <w:rsid w:val="00C718EE"/>
    <w:rsid w:val="00C71D68"/>
    <w:rsid w:val="00C71FBA"/>
    <w:rsid w:val="00C71FC2"/>
    <w:rsid w:val="00C7224A"/>
    <w:rsid w:val="00C72E57"/>
    <w:rsid w:val="00C733BD"/>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342A"/>
    <w:rsid w:val="00CE36A8"/>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C0E"/>
    <w:rsid w:val="00CF1C98"/>
    <w:rsid w:val="00CF20EB"/>
    <w:rsid w:val="00CF2390"/>
    <w:rsid w:val="00CF2CD0"/>
    <w:rsid w:val="00CF355F"/>
    <w:rsid w:val="00CF3564"/>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018"/>
    <w:rsid w:val="00D21922"/>
    <w:rsid w:val="00D21F47"/>
    <w:rsid w:val="00D22149"/>
    <w:rsid w:val="00D23124"/>
    <w:rsid w:val="00D231C0"/>
    <w:rsid w:val="00D234DE"/>
    <w:rsid w:val="00D235CB"/>
    <w:rsid w:val="00D238A8"/>
    <w:rsid w:val="00D23923"/>
    <w:rsid w:val="00D239A1"/>
    <w:rsid w:val="00D23D50"/>
    <w:rsid w:val="00D24876"/>
    <w:rsid w:val="00D2495D"/>
    <w:rsid w:val="00D24968"/>
    <w:rsid w:val="00D251D8"/>
    <w:rsid w:val="00D253B1"/>
    <w:rsid w:val="00D25699"/>
    <w:rsid w:val="00D25872"/>
    <w:rsid w:val="00D258F6"/>
    <w:rsid w:val="00D25A71"/>
    <w:rsid w:val="00D26280"/>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331"/>
    <w:rsid w:val="00DD2799"/>
    <w:rsid w:val="00DD27FC"/>
    <w:rsid w:val="00DD2B92"/>
    <w:rsid w:val="00DD2CDA"/>
    <w:rsid w:val="00DD2E3E"/>
    <w:rsid w:val="00DD343B"/>
    <w:rsid w:val="00DD41A3"/>
    <w:rsid w:val="00DD4690"/>
    <w:rsid w:val="00DD53BF"/>
    <w:rsid w:val="00DD5518"/>
    <w:rsid w:val="00DD6094"/>
    <w:rsid w:val="00DD6147"/>
    <w:rsid w:val="00DD7026"/>
    <w:rsid w:val="00DD7433"/>
    <w:rsid w:val="00DD79BC"/>
    <w:rsid w:val="00DD7A73"/>
    <w:rsid w:val="00DD7C6B"/>
    <w:rsid w:val="00DD7F0C"/>
    <w:rsid w:val="00DE0078"/>
    <w:rsid w:val="00DE009A"/>
    <w:rsid w:val="00DE04A6"/>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51B"/>
    <w:rsid w:val="00DE4BFC"/>
    <w:rsid w:val="00DE5BDA"/>
    <w:rsid w:val="00DE69BE"/>
    <w:rsid w:val="00DE7300"/>
    <w:rsid w:val="00DE7716"/>
    <w:rsid w:val="00DE7D18"/>
    <w:rsid w:val="00DF013D"/>
    <w:rsid w:val="00DF03D3"/>
    <w:rsid w:val="00DF0CCE"/>
    <w:rsid w:val="00DF18A3"/>
    <w:rsid w:val="00DF20A6"/>
    <w:rsid w:val="00DF2444"/>
    <w:rsid w:val="00DF248E"/>
    <w:rsid w:val="00DF2A20"/>
    <w:rsid w:val="00DF3AF6"/>
    <w:rsid w:val="00DF3F81"/>
    <w:rsid w:val="00DF3FEC"/>
    <w:rsid w:val="00DF40BA"/>
    <w:rsid w:val="00DF42F5"/>
    <w:rsid w:val="00DF4494"/>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5F7"/>
    <w:rsid w:val="00E3087A"/>
    <w:rsid w:val="00E30892"/>
    <w:rsid w:val="00E308F3"/>
    <w:rsid w:val="00E30E4E"/>
    <w:rsid w:val="00E311C8"/>
    <w:rsid w:val="00E31AC0"/>
    <w:rsid w:val="00E31D8D"/>
    <w:rsid w:val="00E32381"/>
    <w:rsid w:val="00E32820"/>
    <w:rsid w:val="00E32CA3"/>
    <w:rsid w:val="00E32E34"/>
    <w:rsid w:val="00E33375"/>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A69"/>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F16"/>
    <w:rsid w:val="00E53737"/>
    <w:rsid w:val="00E53978"/>
    <w:rsid w:val="00E53A04"/>
    <w:rsid w:val="00E53C96"/>
    <w:rsid w:val="00E53CAA"/>
    <w:rsid w:val="00E5409D"/>
    <w:rsid w:val="00E541E8"/>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BCD"/>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76B"/>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2D73"/>
    <w:rsid w:val="00EA3344"/>
    <w:rsid w:val="00EA34CB"/>
    <w:rsid w:val="00EA3578"/>
    <w:rsid w:val="00EA392A"/>
    <w:rsid w:val="00EA3C0D"/>
    <w:rsid w:val="00EA3CD6"/>
    <w:rsid w:val="00EA3D5B"/>
    <w:rsid w:val="00EA3FB7"/>
    <w:rsid w:val="00EA404A"/>
    <w:rsid w:val="00EA46B5"/>
    <w:rsid w:val="00EA488E"/>
    <w:rsid w:val="00EA4989"/>
    <w:rsid w:val="00EA62C1"/>
    <w:rsid w:val="00EA65A3"/>
    <w:rsid w:val="00EA692D"/>
    <w:rsid w:val="00EA7044"/>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CDD"/>
    <w:rsid w:val="00EB7D6D"/>
    <w:rsid w:val="00EB7F67"/>
    <w:rsid w:val="00EC119B"/>
    <w:rsid w:val="00EC12D9"/>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0F33"/>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6F24"/>
    <w:rsid w:val="00ED7498"/>
    <w:rsid w:val="00ED78EC"/>
    <w:rsid w:val="00ED7DAC"/>
    <w:rsid w:val="00EE0446"/>
    <w:rsid w:val="00EE066B"/>
    <w:rsid w:val="00EE0C92"/>
    <w:rsid w:val="00EE0D0B"/>
    <w:rsid w:val="00EE1397"/>
    <w:rsid w:val="00EE1477"/>
    <w:rsid w:val="00EE1A17"/>
    <w:rsid w:val="00EE2090"/>
    <w:rsid w:val="00EE20A5"/>
    <w:rsid w:val="00EE22C7"/>
    <w:rsid w:val="00EE25B3"/>
    <w:rsid w:val="00EE2696"/>
    <w:rsid w:val="00EE2997"/>
    <w:rsid w:val="00EE2A32"/>
    <w:rsid w:val="00EE2C80"/>
    <w:rsid w:val="00EE2E25"/>
    <w:rsid w:val="00EE33F4"/>
    <w:rsid w:val="00EE3910"/>
    <w:rsid w:val="00EE3D4E"/>
    <w:rsid w:val="00EE3E5C"/>
    <w:rsid w:val="00EE432B"/>
    <w:rsid w:val="00EE4630"/>
    <w:rsid w:val="00EE46E7"/>
    <w:rsid w:val="00EE585B"/>
    <w:rsid w:val="00EE59B7"/>
    <w:rsid w:val="00EE5C89"/>
    <w:rsid w:val="00EE612F"/>
    <w:rsid w:val="00EE614D"/>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557"/>
    <w:rsid w:val="00EF5610"/>
    <w:rsid w:val="00EF5654"/>
    <w:rsid w:val="00EF5ED1"/>
    <w:rsid w:val="00EF60B3"/>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1A"/>
    <w:rsid w:val="00F26552"/>
    <w:rsid w:val="00F26C41"/>
    <w:rsid w:val="00F27153"/>
    <w:rsid w:val="00F273D3"/>
    <w:rsid w:val="00F273F6"/>
    <w:rsid w:val="00F2740B"/>
    <w:rsid w:val="00F27B99"/>
    <w:rsid w:val="00F27F92"/>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852"/>
    <w:rsid w:val="00F44B80"/>
    <w:rsid w:val="00F44F19"/>
    <w:rsid w:val="00F455D6"/>
    <w:rsid w:val="00F4580D"/>
    <w:rsid w:val="00F45CB9"/>
    <w:rsid w:val="00F460DF"/>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BD1"/>
    <w:rsid w:val="00F74C00"/>
    <w:rsid w:val="00F75148"/>
    <w:rsid w:val="00F755DF"/>
    <w:rsid w:val="00F759F3"/>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67"/>
    <w:rsid w:val="00FA0171"/>
    <w:rsid w:val="00FA01CB"/>
    <w:rsid w:val="00FA02EE"/>
    <w:rsid w:val="00FA0D18"/>
    <w:rsid w:val="00FA14A9"/>
    <w:rsid w:val="00FA15F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uiPriority w:val="99"/>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uiPriority w:val="99"/>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26250</TotalTime>
  <Pages>16</Pages>
  <Words>6044</Words>
  <Characters>34452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5124</cp:revision>
  <cp:lastPrinted>2009-02-06T05:36:00Z</cp:lastPrinted>
  <dcterms:created xsi:type="dcterms:W3CDTF">2016-09-19T15:12:00Z</dcterms:created>
  <dcterms:modified xsi:type="dcterms:W3CDTF">2017-02-10T08:11:00Z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