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F8CC" w14:textId="1641C6E8" w:rsidR="00703F53" w:rsidRDefault="00B62191" w:rsidP="00B62191">
      <w:pPr>
        <w:rPr>
          <w:rFonts w:ascii="Verdana" w:hAnsi="Verdana"/>
          <w:b/>
          <w:bCs/>
          <w:color w:val="000000"/>
          <w:shd w:val="clear" w:color="auto" w:fill="FFFFFF"/>
        </w:rPr>
      </w:pPr>
      <w:r>
        <w:rPr>
          <w:rFonts w:ascii="Verdana" w:hAnsi="Verdana"/>
          <w:b/>
          <w:bCs/>
          <w:color w:val="000000"/>
          <w:shd w:val="clear" w:color="auto" w:fill="FFFFFF"/>
        </w:rPr>
        <w:t xml:space="preserve">Михайлов Геннадій Миколайович. Ефективність формування парку літальних апаратів для виконання сільгоспхімробіт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2191" w:rsidRPr="00B62191" w14:paraId="11E9650B" w14:textId="77777777" w:rsidTr="00B621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191" w:rsidRPr="00B62191" w14:paraId="10001B9A" w14:textId="77777777">
              <w:trPr>
                <w:tblCellSpacing w:w="0" w:type="dxa"/>
              </w:trPr>
              <w:tc>
                <w:tcPr>
                  <w:tcW w:w="0" w:type="auto"/>
                  <w:vAlign w:val="center"/>
                  <w:hideMark/>
                </w:tcPr>
                <w:p w14:paraId="20E0D999"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b/>
                      <w:bCs/>
                      <w:sz w:val="24"/>
                      <w:szCs w:val="24"/>
                    </w:rPr>
                    <w:lastRenderedPageBreak/>
                    <w:t>Михайлов Г.М. Ефективність формування парку літальних апаратів для виконання сільгоспхімробіт.</w:t>
                  </w:r>
                  <w:r w:rsidRPr="00B62191">
                    <w:rPr>
                      <w:rFonts w:ascii="Times New Roman" w:eastAsia="Times New Roman" w:hAnsi="Times New Roman" w:cs="Times New Roman"/>
                      <w:sz w:val="24"/>
                      <w:szCs w:val="24"/>
                    </w:rPr>
                    <w:t> </w:t>
                  </w:r>
                  <w:r w:rsidRPr="00B62191">
                    <w:rPr>
                      <w:rFonts w:ascii="Times New Roman" w:eastAsia="Times New Roman" w:hAnsi="Times New Roman" w:cs="Times New Roman"/>
                      <w:b/>
                      <w:bCs/>
                      <w:sz w:val="24"/>
                      <w:szCs w:val="24"/>
                    </w:rPr>
                    <w:t>– Рукопис.</w:t>
                  </w:r>
                </w:p>
                <w:p w14:paraId="6D087FDF"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08.00.04 - економіка та управління підприємствами (за видами економічної діяльності). - Національний авіаційний університет, Київ, 2009.</w:t>
                  </w:r>
                </w:p>
                <w:p w14:paraId="7A1E7E2D"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У дисертаційній роботі розроблені теоретико-методичні положення формування і використання парку літальних апаратів підприємства для виконання сільгоспхімробіт, а також методи оцінки економічної ефективності сільськогосподарської авіації нового покоління як складної техніко-економічної системи, з урахуванням рекомендацій оцінки ефективності роботи підприємств ЗАНГ у ЦА. В дисертації проведено SWOT-аналіз для визначення прогнозу частки ринку та обґрунтування видів авіахімробіт.</w:t>
                  </w:r>
                </w:p>
                <w:p w14:paraId="7EDB8166"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В роботі запропонована методика розрахунку ефективності застосування авіації в сільському господарстві, в якій враховуються такі ринкові категорії як тарифна політика, прибутковість, рентабельність авіапідприємства, виконуючого АХР.</w:t>
                  </w:r>
                </w:p>
                <w:p w14:paraId="46002C67"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На основі ЕММ за допомогою ППП Lindo проведені числові експерименти по оцінці ефективності інвестиційного проекту по впровадженню нових СГЛА. Отримані дані підтверджують адекватність розробленої моделі й корисність її при виборі нових типів ЛА. Запропоновано комплексний підхід до поповнення й відновлення парку ЛА авіапідприємства ЗАНГ, що дає можливість підприємствам ЗАНГ забезпечити високу економічну ефективність.</w:t>
                  </w:r>
                </w:p>
                <w:p w14:paraId="0FB4391F"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Матеріали дисертаційної роботи були впроваджені в авіапідприємствах ЗАНГ України.</w:t>
                  </w:r>
                </w:p>
              </w:tc>
            </w:tr>
          </w:tbl>
          <w:p w14:paraId="6F2FA567" w14:textId="77777777" w:rsidR="00B62191" w:rsidRPr="00B62191" w:rsidRDefault="00B62191" w:rsidP="00B62191">
            <w:pPr>
              <w:spacing w:after="0" w:line="240" w:lineRule="auto"/>
              <w:rPr>
                <w:rFonts w:ascii="Times New Roman" w:eastAsia="Times New Roman" w:hAnsi="Times New Roman" w:cs="Times New Roman"/>
                <w:sz w:val="24"/>
                <w:szCs w:val="24"/>
              </w:rPr>
            </w:pPr>
          </w:p>
        </w:tc>
      </w:tr>
      <w:tr w:rsidR="00B62191" w:rsidRPr="00B62191" w14:paraId="62BA0982" w14:textId="77777777" w:rsidTr="00B621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191" w:rsidRPr="00B62191" w14:paraId="674F6862" w14:textId="77777777">
              <w:trPr>
                <w:tblCellSpacing w:w="0" w:type="dxa"/>
              </w:trPr>
              <w:tc>
                <w:tcPr>
                  <w:tcW w:w="0" w:type="auto"/>
                  <w:vAlign w:val="center"/>
                  <w:hideMark/>
                </w:tcPr>
                <w:p w14:paraId="41D61DF4"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У дисертаційній роботі на основі аналізу та узагальнення сучасних теоретичних та практичних підходів до використання авіації в сільському господарстві вирішено науково-практичне завдання розробки методичних, економіко-організаційних положень та практичних рекомендації щодо формування і використання парку літальних апаратів підприємства при виконанні авіахімробіт, а також оцінки економічної ефективності застосування нового покоління СГЛА зокрема МБАК, що має суттєве значення для забезпечення ефективності функціонування та конкурентоспроможності авіапідприємств ЗАНГ при виконанні АХР.</w:t>
                  </w:r>
                </w:p>
                <w:p w14:paraId="4E47F401" w14:textId="77777777" w:rsidR="00B62191" w:rsidRPr="00B62191" w:rsidRDefault="00B62191" w:rsidP="00B62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Результати роботи дозволяють зробити наступні висновки та рекомендації.</w:t>
                  </w:r>
                </w:p>
                <w:p w14:paraId="3968A673"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На основі проведеного аналізу науково – практичної літератури уточнено сутність понять: «основні засоби авіапідприємства» та «оцінка економічної ефективності СГЛА», та доведена невірність стереотипу, який склався, про збитковість і екологічну небезпеку АХР, за умови застосування нової авіаційної техніки і технологій виконання сільгоспхімробіт, що дозволяє вирішити задачу формування парку ЛА підприємства для виконання авіахімробіт.</w:t>
                  </w:r>
                </w:p>
                <w:p w14:paraId="7EC66CAE"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 xml:space="preserve">Формування і використання парку ЛА підприємства при виконанні авіахімробіт полягає у виявленні забезпеченості, технічного стану, ступеня використання та резерву підвищення ефективності експлуатації активної частини основних засобів авіапідприємства. Тому при формуванні амортизаційної, інвестиційної, тарифної політики авіапідприємств ЗАНГ необхідні нові методичні підходи, які враховували б чинну нормативно-правову базу </w:t>
                  </w:r>
                  <w:r w:rsidRPr="00B62191">
                    <w:rPr>
                      <w:rFonts w:ascii="Times New Roman" w:eastAsia="Times New Roman" w:hAnsi="Times New Roman" w:cs="Times New Roman"/>
                      <w:sz w:val="24"/>
                      <w:szCs w:val="24"/>
                    </w:rPr>
                    <w:lastRenderedPageBreak/>
                    <w:t>України, сучасні положення економічної теорії та організації підприємства, новітні технології застосування авіації в сільському господарстві.</w:t>
                  </w:r>
                </w:p>
                <w:p w14:paraId="1D44466D"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Автором узагальнено теоретичні й практичні підходи до оцінки ефективності застосування сільськогосподарських ЛА, що дозволило запропонувати концепцію комплексного підходу до формування і використання парку літальних апаратів підприємства при виконанні авіахімробіт із урахуванням інтенсивного списання старіючого парку, подорожчання енергоносіїв, вимог екології й авіаційної безпеки.</w:t>
                  </w:r>
                </w:p>
                <w:p w14:paraId="5F4E76C6"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В дисертаційній роботі розроблені методичні підходи до розрахунку собівартості виконання АХР і формування тарифів, що дозволило уточнити статті витрат авіакомпанії в рамках чинних законодавчих нормативів та відповідно коригувати тарифну політику авіакомпанії.</w:t>
                  </w:r>
                </w:p>
                <w:p w14:paraId="602F6617"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Дослідження сучасних технологічних вимог до виконання АХР дозволило поширити можливості використання економіко-математичної моделі формування парку авіапідприємства за рахунок обліку часткового списання та інвестицій в нові типи ЛА, завдяки чому узагальнено та уніфікувано методику поповнення та оновлення парку СГЛА.</w:t>
                  </w:r>
                </w:p>
                <w:p w14:paraId="156C6A3B"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На основі процедури SWOT-аналізу встановлено, що резерви для розвитку нових технологій в підвищенні економічної ефективності хімізації по захисту посівів зернових культур від шкідників й хвороб полягають у застосуванні ультрамалооб'ємного обприскування (УМО), а це багато в чому залежить від забезпечення авіапідприємств сучасними ЛА і відповідною авіаційною сільськогосподарською апаратурою.</w:t>
                  </w:r>
                </w:p>
                <w:p w14:paraId="7B342628"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Автором розроблені та запропоновані економічні основи застосування БЛА, що дозволяє системно оцінити прогресивні тенденції в роботизації виконання АХР. В роботі доведено, що з чотирьох існуючих класів БЛА ефективно виконувати АХР можуть тільки апарати класів Мікро та Міні. В рамках одного класу апарати з електродвигунами мають нижчу ціну порівняно з іншими, а також вищий коефіцієнт застосування та відносний коефіцієнт якості маневрування.</w:t>
                  </w:r>
                </w:p>
                <w:p w14:paraId="1AA8CCBC"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Автором запропоновано структуру МБАК та організацію його роботи у взаємодії з ВРБ і системами супутникової навігації. Числова реалізація розробленої економіко-математичної моделі формування парку СГЛА в складі МБАК, включаючи віртуальні типи очікуваної авіаційної техніки, проведена на прикладі авіакомпанії «Конкордавіа» за допомогою пакета прикладних програм (ППП) Lindo, і свідчить про те, що найбільш привабливим за критеріями прибутковості, безпеки й екології є МБАК на базі БЛА Flying jerrican. Порівняльна оцінка парку із застосуванням застарілих типів ЛА (Ан-2, Ка-26 Мі-2) і без них показала, що завдяки оновленню парку СГЛА й впровадженню МБАК прибуток авіапідприємства може зрости на 24,6% за рік, що становить 778 тис. грош.од.</w:t>
                  </w:r>
                </w:p>
                <w:p w14:paraId="58C31A0B"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На основі операційної економіко-математичної моделі формування парку ЛА визначені оптимальні облікові проектні параметри нового типу ЛА, що дає можливість авіапідприємствам ЗАНГ сформулювати для авіабудівної промисловості техніко-економічні вимоги до перспективних типів СГЛА. Проведені розрахунки основних критеріїв ефективності інвестицій у нові СГЛА складають: </w:t>
                  </w:r>
                  <w:r w:rsidRPr="00B62191">
                    <w:rPr>
                      <w:rFonts w:ascii="Times New Roman" w:eastAsia="Times New Roman" w:hAnsi="Times New Roman" w:cs="Times New Roman"/>
                      <w:i/>
                      <w:iCs/>
                      <w:sz w:val="24"/>
                      <w:szCs w:val="24"/>
                    </w:rPr>
                    <w:t>NPV</w:t>
                  </w:r>
                  <w:r w:rsidRPr="00B62191">
                    <w:rPr>
                      <w:rFonts w:ascii="Times New Roman" w:eastAsia="Times New Roman" w:hAnsi="Times New Roman" w:cs="Times New Roman"/>
                      <w:i/>
                      <w:iCs/>
                      <w:sz w:val="24"/>
                      <w:szCs w:val="24"/>
                      <w:vertAlign w:val="subscript"/>
                    </w:rPr>
                    <w:t>А</w:t>
                  </w:r>
                  <w:r w:rsidRPr="00B62191">
                    <w:rPr>
                      <w:rFonts w:ascii="Times New Roman" w:eastAsia="Times New Roman" w:hAnsi="Times New Roman" w:cs="Times New Roman"/>
                      <w:sz w:val="24"/>
                      <w:szCs w:val="24"/>
                    </w:rPr>
                    <w:t>=5821447,34 грош.од., </w:t>
                  </w:r>
                  <w:r w:rsidRPr="00B62191">
                    <w:rPr>
                      <w:rFonts w:ascii="Times New Roman" w:eastAsia="Times New Roman" w:hAnsi="Times New Roman" w:cs="Times New Roman"/>
                      <w:i/>
                      <w:iCs/>
                      <w:sz w:val="24"/>
                      <w:szCs w:val="24"/>
                    </w:rPr>
                    <w:t>DВІ</w:t>
                  </w:r>
                  <w:r w:rsidRPr="00B62191">
                    <w:rPr>
                      <w:rFonts w:ascii="Times New Roman" w:eastAsia="Times New Roman" w:hAnsi="Times New Roman" w:cs="Times New Roman"/>
                      <w:i/>
                      <w:iCs/>
                      <w:sz w:val="24"/>
                      <w:szCs w:val="24"/>
                      <w:vertAlign w:val="subscript"/>
                    </w:rPr>
                    <w:t>А</w:t>
                  </w:r>
                  <w:r w:rsidRPr="00B62191">
                    <w:rPr>
                      <w:rFonts w:ascii="Times New Roman" w:eastAsia="Times New Roman" w:hAnsi="Times New Roman" w:cs="Times New Roman"/>
                      <w:sz w:val="24"/>
                      <w:szCs w:val="24"/>
                    </w:rPr>
                    <w:t> = 0,14 року, </w:t>
                  </w:r>
                  <w:r w:rsidRPr="00B62191">
                    <w:rPr>
                      <w:rFonts w:ascii="Times New Roman" w:eastAsia="Times New Roman" w:hAnsi="Times New Roman" w:cs="Times New Roman"/>
                      <w:i/>
                      <w:iCs/>
                      <w:sz w:val="24"/>
                      <w:szCs w:val="24"/>
                    </w:rPr>
                    <w:t>NPV</w:t>
                  </w:r>
                  <w:r w:rsidRPr="00B62191">
                    <w:rPr>
                      <w:rFonts w:ascii="Times New Roman" w:eastAsia="Times New Roman" w:hAnsi="Times New Roman" w:cs="Times New Roman"/>
                      <w:i/>
                      <w:iCs/>
                      <w:sz w:val="24"/>
                      <w:szCs w:val="24"/>
                      <w:vertAlign w:val="subscript"/>
                    </w:rPr>
                    <w:t>В</w:t>
                  </w:r>
                  <w:r w:rsidRPr="00B62191">
                    <w:rPr>
                      <w:rFonts w:ascii="Times New Roman" w:eastAsia="Times New Roman" w:hAnsi="Times New Roman" w:cs="Times New Roman"/>
                      <w:sz w:val="24"/>
                      <w:szCs w:val="24"/>
                    </w:rPr>
                    <w:t>=6136645,96 грош.од., </w:t>
                  </w:r>
                  <w:r w:rsidRPr="00B62191">
                    <w:rPr>
                      <w:rFonts w:ascii="Times New Roman" w:eastAsia="Times New Roman" w:hAnsi="Times New Roman" w:cs="Times New Roman"/>
                      <w:i/>
                      <w:iCs/>
                      <w:sz w:val="24"/>
                      <w:szCs w:val="24"/>
                    </w:rPr>
                    <w:t>DВІ</w:t>
                  </w:r>
                  <w:r w:rsidRPr="00B62191">
                    <w:rPr>
                      <w:rFonts w:ascii="Times New Roman" w:eastAsia="Times New Roman" w:hAnsi="Times New Roman" w:cs="Times New Roman"/>
                      <w:i/>
                      <w:iCs/>
                      <w:sz w:val="24"/>
                      <w:szCs w:val="24"/>
                      <w:vertAlign w:val="subscript"/>
                    </w:rPr>
                    <w:t>В</w:t>
                  </w:r>
                  <w:r w:rsidRPr="00B62191">
                    <w:rPr>
                      <w:rFonts w:ascii="Times New Roman" w:eastAsia="Times New Roman" w:hAnsi="Times New Roman" w:cs="Times New Roman"/>
                      <w:i/>
                      <w:iCs/>
                      <w:sz w:val="24"/>
                      <w:szCs w:val="24"/>
                    </w:rPr>
                    <w:t> </w:t>
                  </w:r>
                  <w:r w:rsidRPr="00B62191">
                    <w:rPr>
                      <w:rFonts w:ascii="Times New Roman" w:eastAsia="Times New Roman" w:hAnsi="Times New Roman" w:cs="Times New Roman"/>
                      <w:sz w:val="24"/>
                      <w:szCs w:val="24"/>
                    </w:rPr>
                    <w:t>= 0,1 року і свідчать про доцільність реалізації обраного інвестиційного проекту.</w:t>
                  </w:r>
                </w:p>
                <w:p w14:paraId="4FCAF85A"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 xml:space="preserve">Числова реалізація економіко-математичної моделі маневрування оновленим парком СГЛА на прикладі авіакомпанії «Конкордавіа» і трьох ВРБ, які розміщені у Київській, Дніпропетровській області та АР Крим, свідчить про наявність резервів авіакомпанії щодо виконання додаткового обсягу АХР. В окремих випадках збільшення прибутку при </w:t>
                  </w:r>
                  <w:r w:rsidRPr="00B62191">
                    <w:rPr>
                      <w:rFonts w:ascii="Times New Roman" w:eastAsia="Times New Roman" w:hAnsi="Times New Roman" w:cs="Times New Roman"/>
                      <w:sz w:val="24"/>
                      <w:szCs w:val="24"/>
                    </w:rPr>
                    <w:lastRenderedPageBreak/>
                    <w:t>виконанні фіксованого обсягу АХР із урахуванням маневрування МБАК ВРБ досягає 7,3 тис. грош. одиниць</w:t>
                  </w:r>
                </w:p>
                <w:p w14:paraId="38A6852A" w14:textId="77777777" w:rsidR="00B62191" w:rsidRPr="00B62191" w:rsidRDefault="00B62191" w:rsidP="004831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2191">
                    <w:rPr>
                      <w:rFonts w:ascii="Times New Roman" w:eastAsia="Times New Roman" w:hAnsi="Times New Roman" w:cs="Times New Roman"/>
                      <w:sz w:val="24"/>
                      <w:szCs w:val="24"/>
                    </w:rPr>
                    <w:t>В подальших дослідженнях доцільно розробити механізм оцінки оптимального управління агроекосистемами з елементами авіаційного моніторингу стану екосистеми та обробки сільськогосподарських полів за допомогою мобільних авіаційних комплексів.</w:t>
                  </w:r>
                </w:p>
              </w:tc>
            </w:tr>
          </w:tbl>
          <w:p w14:paraId="6C64666B" w14:textId="77777777" w:rsidR="00B62191" w:rsidRPr="00B62191" w:rsidRDefault="00B62191" w:rsidP="00B62191">
            <w:pPr>
              <w:spacing w:after="0" w:line="240" w:lineRule="auto"/>
              <w:rPr>
                <w:rFonts w:ascii="Times New Roman" w:eastAsia="Times New Roman" w:hAnsi="Times New Roman" w:cs="Times New Roman"/>
                <w:sz w:val="24"/>
                <w:szCs w:val="24"/>
              </w:rPr>
            </w:pPr>
          </w:p>
        </w:tc>
      </w:tr>
    </w:tbl>
    <w:p w14:paraId="1904573B" w14:textId="77777777" w:rsidR="00B62191" w:rsidRPr="00B62191" w:rsidRDefault="00B62191" w:rsidP="00B62191"/>
    <w:sectPr w:rsidR="00B62191" w:rsidRPr="00B621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45A0" w14:textId="77777777" w:rsidR="00483119" w:rsidRDefault="00483119">
      <w:pPr>
        <w:spacing w:after="0" w:line="240" w:lineRule="auto"/>
      </w:pPr>
      <w:r>
        <w:separator/>
      </w:r>
    </w:p>
  </w:endnote>
  <w:endnote w:type="continuationSeparator" w:id="0">
    <w:p w14:paraId="743BAC8F" w14:textId="77777777" w:rsidR="00483119" w:rsidRDefault="004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E510" w14:textId="77777777" w:rsidR="00483119" w:rsidRDefault="00483119">
      <w:pPr>
        <w:spacing w:after="0" w:line="240" w:lineRule="auto"/>
      </w:pPr>
      <w:r>
        <w:separator/>
      </w:r>
    </w:p>
  </w:footnote>
  <w:footnote w:type="continuationSeparator" w:id="0">
    <w:p w14:paraId="57F93355" w14:textId="77777777" w:rsidR="00483119" w:rsidRDefault="004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1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06F4"/>
    <w:multiLevelType w:val="multilevel"/>
    <w:tmpl w:val="F26A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119"/>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70109</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1069</cp:revision>
  <dcterms:created xsi:type="dcterms:W3CDTF">2024-06-20T08:51:00Z</dcterms:created>
  <dcterms:modified xsi:type="dcterms:W3CDTF">2024-09-02T10:08:00Z</dcterms:modified>
  <cp:category/>
</cp:coreProperties>
</file>