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FF87" w14:textId="77777777" w:rsidR="00DB421A" w:rsidRDefault="00DB421A" w:rsidP="00DB421A">
      <w:pPr>
        <w:pStyle w:val="afffffffffffffffffffffffffff5"/>
        <w:rPr>
          <w:rFonts w:ascii="Verdana" w:hAnsi="Verdana"/>
          <w:color w:val="000000"/>
          <w:sz w:val="21"/>
          <w:szCs w:val="21"/>
        </w:rPr>
      </w:pPr>
      <w:r>
        <w:rPr>
          <w:rFonts w:ascii="Helvetica" w:hAnsi="Helvetica" w:cs="Helvetica"/>
          <w:b/>
          <w:bCs w:val="0"/>
          <w:color w:val="222222"/>
          <w:sz w:val="21"/>
          <w:szCs w:val="21"/>
        </w:rPr>
        <w:t>Кудряшова, Ирина Владимировна.</w:t>
      </w:r>
    </w:p>
    <w:p w14:paraId="6CF4C059" w14:textId="77777777" w:rsidR="00DB421A" w:rsidRDefault="00DB421A" w:rsidP="00DB42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Исламский фундаментализм как тип политического </w:t>
      </w:r>
      <w:proofErr w:type="gramStart"/>
      <w:r>
        <w:rPr>
          <w:rFonts w:ascii="Helvetica" w:hAnsi="Helvetica" w:cs="Helvetica"/>
          <w:caps/>
          <w:color w:val="222222"/>
          <w:sz w:val="21"/>
          <w:szCs w:val="21"/>
        </w:rPr>
        <w:t>сознания :</w:t>
      </w:r>
      <w:proofErr w:type="gramEnd"/>
      <w:r>
        <w:rPr>
          <w:rFonts w:ascii="Helvetica" w:hAnsi="Helvetica" w:cs="Helvetica"/>
          <w:caps/>
          <w:color w:val="222222"/>
          <w:sz w:val="21"/>
          <w:szCs w:val="21"/>
        </w:rPr>
        <w:t xml:space="preserve"> диссертация ... кандидата политических наук : 23.00.04. - Москва, 1999. - 164 с.</w:t>
      </w:r>
    </w:p>
    <w:p w14:paraId="0483FC2A" w14:textId="77777777" w:rsidR="00DB421A" w:rsidRDefault="00DB421A" w:rsidP="00DB42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Кудряшова, Ирина Владимировна</w:t>
      </w:r>
    </w:p>
    <w:p w14:paraId="566D850A"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95A9CC"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Идейно-исторический аспект исламского фундаментализма</w:t>
      </w:r>
    </w:p>
    <w:p w14:paraId="029FD6CC"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Понятийный аппарат</w:t>
      </w:r>
    </w:p>
    <w:p w14:paraId="490001DD"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Корни исламского фундаменталистского сознания</w:t>
      </w:r>
    </w:p>
    <w:p w14:paraId="20544625"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Доктрина исламского фундаментализма</w:t>
      </w:r>
    </w:p>
    <w:p w14:paraId="5C13AF2A"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Оформление и развитие фундаменталистской доктрины а). Исламский порядок и социальная справедливость б). "Подлинный национализм" как противовес национализму в). Властная парадигма: </w:t>
      </w:r>
      <w:proofErr w:type="spellStart"/>
      <w:r>
        <w:rPr>
          <w:rFonts w:ascii="Arial" w:hAnsi="Arial" w:cs="Arial"/>
          <w:color w:val="333333"/>
          <w:sz w:val="21"/>
          <w:szCs w:val="21"/>
        </w:rPr>
        <w:t>теодемократия</w:t>
      </w:r>
      <w:proofErr w:type="spellEnd"/>
      <w:r>
        <w:rPr>
          <w:rFonts w:ascii="Arial" w:hAnsi="Arial" w:cs="Arial"/>
          <w:color w:val="333333"/>
          <w:sz w:val="21"/>
          <w:szCs w:val="21"/>
        </w:rPr>
        <w:t xml:space="preserve"> или "принцип взаимных консультаций" г). Концептуальная основа исламской экономической </w:t>
      </w:r>
      <w:proofErr w:type="gramStart"/>
      <w:r>
        <w:rPr>
          <w:rFonts w:ascii="Arial" w:hAnsi="Arial" w:cs="Arial"/>
          <w:color w:val="333333"/>
          <w:sz w:val="21"/>
          <w:szCs w:val="21"/>
        </w:rPr>
        <w:t>системы .</w:t>
      </w:r>
      <w:proofErr w:type="gramEnd"/>
      <w:r>
        <w:rPr>
          <w:rFonts w:ascii="Arial" w:hAnsi="Arial" w:cs="Arial"/>
          <w:color w:val="333333"/>
          <w:sz w:val="21"/>
          <w:szCs w:val="21"/>
        </w:rPr>
        <w:t xml:space="preserve"> . 57. д). Основные идеологемы доктрины</w:t>
      </w:r>
    </w:p>
    <w:p w14:paraId="7A33C129"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шиитского фундаментализма.</w:t>
      </w:r>
    </w:p>
    <w:p w14:paraId="2E86391B"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Исламский фундаментализм как идеология: сравнительные характеристики.</w:t>
      </w:r>
    </w:p>
    <w:p w14:paraId="6E499A58"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Продуцирование исламского фундаменталистского сознания</w:t>
      </w:r>
    </w:p>
    <w:p w14:paraId="18B3247F"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Субъект, факторы продуцирования, специфика и типология исламского фундаменталистского сознания.</w:t>
      </w:r>
    </w:p>
    <w:p w14:paraId="2B8BDFCC" w14:textId="77777777" w:rsidR="00DB421A" w:rsidRDefault="00DB421A" w:rsidP="00DB42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Распространение исламского фундаменталистского сознания в России</w:t>
      </w:r>
    </w:p>
    <w:p w14:paraId="4FDAD129" w14:textId="7F7E111E" w:rsidR="00BD642D" w:rsidRPr="00DB421A" w:rsidRDefault="00BD642D" w:rsidP="00DB421A"/>
    <w:sectPr w:rsidR="00BD642D" w:rsidRPr="00DB42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26FF" w14:textId="77777777" w:rsidR="00150BFB" w:rsidRDefault="00150BFB">
      <w:pPr>
        <w:spacing w:after="0" w:line="240" w:lineRule="auto"/>
      </w:pPr>
      <w:r>
        <w:separator/>
      </w:r>
    </w:p>
  </w:endnote>
  <w:endnote w:type="continuationSeparator" w:id="0">
    <w:p w14:paraId="140D9A94" w14:textId="77777777" w:rsidR="00150BFB" w:rsidRDefault="0015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3E46" w14:textId="77777777" w:rsidR="00150BFB" w:rsidRDefault="00150BFB"/>
    <w:p w14:paraId="0135E870" w14:textId="77777777" w:rsidR="00150BFB" w:rsidRDefault="00150BFB"/>
    <w:p w14:paraId="0C22BE79" w14:textId="77777777" w:rsidR="00150BFB" w:rsidRDefault="00150BFB"/>
    <w:p w14:paraId="2BF1DAC3" w14:textId="77777777" w:rsidR="00150BFB" w:rsidRDefault="00150BFB"/>
    <w:p w14:paraId="78622FA9" w14:textId="77777777" w:rsidR="00150BFB" w:rsidRDefault="00150BFB"/>
    <w:p w14:paraId="69CB4D28" w14:textId="77777777" w:rsidR="00150BFB" w:rsidRDefault="00150BFB"/>
    <w:p w14:paraId="375BE933" w14:textId="77777777" w:rsidR="00150BFB" w:rsidRDefault="00150B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DE0CE1" wp14:editId="72A0F7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09C6" w14:textId="77777777" w:rsidR="00150BFB" w:rsidRDefault="00150B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DE0C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1309C6" w14:textId="77777777" w:rsidR="00150BFB" w:rsidRDefault="00150B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E120E" w14:textId="77777777" w:rsidR="00150BFB" w:rsidRDefault="00150BFB"/>
    <w:p w14:paraId="22D79CB2" w14:textId="77777777" w:rsidR="00150BFB" w:rsidRDefault="00150BFB"/>
    <w:p w14:paraId="44A32AEF" w14:textId="77777777" w:rsidR="00150BFB" w:rsidRDefault="00150B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9E7C2" wp14:editId="5C7CB6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9F5F" w14:textId="77777777" w:rsidR="00150BFB" w:rsidRDefault="00150BFB"/>
                          <w:p w14:paraId="7D5EECAE" w14:textId="77777777" w:rsidR="00150BFB" w:rsidRDefault="00150B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9E7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309F5F" w14:textId="77777777" w:rsidR="00150BFB" w:rsidRDefault="00150BFB"/>
                    <w:p w14:paraId="7D5EECAE" w14:textId="77777777" w:rsidR="00150BFB" w:rsidRDefault="00150B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B2FD99" w14:textId="77777777" w:rsidR="00150BFB" w:rsidRDefault="00150BFB"/>
    <w:p w14:paraId="67B7AA33" w14:textId="77777777" w:rsidR="00150BFB" w:rsidRDefault="00150BFB">
      <w:pPr>
        <w:rPr>
          <w:sz w:val="2"/>
          <w:szCs w:val="2"/>
        </w:rPr>
      </w:pPr>
    </w:p>
    <w:p w14:paraId="0C095BA5" w14:textId="77777777" w:rsidR="00150BFB" w:rsidRDefault="00150BFB"/>
    <w:p w14:paraId="5E0D78BF" w14:textId="77777777" w:rsidR="00150BFB" w:rsidRDefault="00150BFB">
      <w:pPr>
        <w:spacing w:after="0" w:line="240" w:lineRule="auto"/>
      </w:pPr>
    </w:p>
  </w:footnote>
  <w:footnote w:type="continuationSeparator" w:id="0">
    <w:p w14:paraId="171FC105" w14:textId="77777777" w:rsidR="00150BFB" w:rsidRDefault="0015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BFB"/>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92446</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cp:revision>
  <cp:lastPrinted>2009-02-06T05:36:00Z</cp:lastPrinted>
  <dcterms:created xsi:type="dcterms:W3CDTF">2024-01-07T13:43:00Z</dcterms:created>
  <dcterms:modified xsi:type="dcterms:W3CDTF">2025-05-12T16:22:00Z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