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61" w:rsidRPr="00AE1461" w:rsidRDefault="00AE1461" w:rsidP="00AE1461">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b/>
          <w:kern w:val="0"/>
          <w:sz w:val="32"/>
          <w:szCs w:val="20"/>
          <w:lang w:val="uk-UA" w:eastAsia="ru-RU"/>
        </w:rPr>
      </w:pPr>
      <w:r w:rsidRPr="00AE1461">
        <w:rPr>
          <w:rFonts w:ascii="Times New Roman" w:eastAsia="Times New Roman" w:hAnsi="Times New Roman" w:cs="Times New Roman"/>
          <w:b/>
          <w:kern w:val="0"/>
          <w:sz w:val="32"/>
          <w:szCs w:val="20"/>
          <w:lang w:val="uk-UA" w:eastAsia="ru-RU"/>
        </w:rPr>
        <w:t>НАЦІОНАЛЬНИЙ АГРАРНИЙ УНІВЕРСИТЕТ</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keepNext/>
        <w:widowControl/>
        <w:tabs>
          <w:tab w:val="clear" w:pos="709"/>
        </w:tabs>
        <w:suppressAutoHyphens w:val="0"/>
        <w:spacing w:after="0" w:line="360" w:lineRule="auto"/>
        <w:ind w:firstLine="0"/>
        <w:jc w:val="right"/>
        <w:outlineLvl w:val="2"/>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На правах рукопису</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val="uk-UA" w:eastAsia="ru-RU"/>
        </w:rPr>
      </w:pPr>
    </w:p>
    <w:p w:rsidR="00AE1461" w:rsidRPr="00AE1461" w:rsidRDefault="00AE1461" w:rsidP="00AE1461">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ДАЦЬКО Людмила Валеріївна</w:t>
      </w:r>
    </w:p>
    <w:p w:rsidR="00AE1461" w:rsidRPr="00AE1461" w:rsidRDefault="00AE1461" w:rsidP="00AE1461">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rsidR="00AE1461" w:rsidRPr="00AE1461" w:rsidRDefault="00AE1461" w:rsidP="00AE146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УДК: 631.417.2:631.445.2 (477.41/42)</w:t>
      </w: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AE1461">
        <w:rPr>
          <w:rFonts w:ascii="Times New Roman" w:eastAsia="Times New Roman" w:hAnsi="Times New Roman" w:cs="Times New Roman"/>
          <w:b/>
          <w:caps/>
          <w:kern w:val="0"/>
          <w:sz w:val="28"/>
          <w:szCs w:val="20"/>
          <w:lang w:val="uk-UA" w:eastAsia="ru-RU"/>
        </w:rPr>
        <w:t>ЗМІНА стану гумусу дерново-підзолистих грунтів Полісся за різного їх сільськогосподарського використання</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Спеціальність: 06.01.03 – агрогрунтознавство і агрофізика</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 xml:space="preserve">Дисертація на здобуття наукового ступеня </w:t>
      </w: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кандидата сільськогосподарських наук</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 xml:space="preserve">Науковий керівник – </w:t>
      </w:r>
    </w:p>
    <w:p w:rsidR="00AE1461" w:rsidRPr="00AE1461" w:rsidRDefault="00AE1461" w:rsidP="00AE1461">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eastAsia="ru-RU"/>
        </w:rPr>
      </w:pPr>
      <w:r w:rsidRPr="00AE1461">
        <w:rPr>
          <w:rFonts w:ascii="Times New Roman" w:eastAsia="Times New Roman" w:hAnsi="Times New Roman" w:cs="Times New Roman"/>
          <w:b/>
          <w:kern w:val="0"/>
          <w:sz w:val="28"/>
          <w:szCs w:val="20"/>
          <w:lang w:val="uk-UA" w:eastAsia="ru-RU"/>
        </w:rPr>
        <w:t xml:space="preserve">доктор с.-г. наук, професор </w:t>
      </w:r>
      <w:r w:rsidRPr="00AE1461">
        <w:rPr>
          <w:rFonts w:ascii="Times New Roman" w:eastAsia="Times New Roman" w:hAnsi="Times New Roman" w:cs="Times New Roman"/>
          <w:b/>
          <w:kern w:val="0"/>
          <w:sz w:val="28"/>
          <w:szCs w:val="20"/>
          <w:lang w:eastAsia="ru-RU"/>
        </w:rPr>
        <w:t>Гнатенко О.Ф.</w:t>
      </w: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rsidR="00AE1461" w:rsidRPr="00AE1461" w:rsidRDefault="00AE1461" w:rsidP="00AE1461">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36"/>
          <w:szCs w:val="20"/>
          <w:lang w:eastAsia="ru-RU"/>
        </w:rPr>
      </w:pPr>
      <w:r w:rsidRPr="00AE1461">
        <w:rPr>
          <w:rFonts w:ascii="Times New Roman" w:eastAsia="Times New Roman" w:hAnsi="Times New Roman" w:cs="Times New Roman"/>
          <w:kern w:val="0"/>
          <w:sz w:val="36"/>
          <w:szCs w:val="20"/>
          <w:lang w:eastAsia="ru-RU"/>
        </w:rPr>
        <w:t>Київ - 2002</w:t>
      </w:r>
    </w:p>
    <w:p w:rsidR="00D666F9" w:rsidRDefault="00D666F9" w:rsidP="00AE1461"/>
    <w:p w:rsidR="00AE1461" w:rsidRDefault="00AE1461" w:rsidP="00AE1461"/>
    <w:p w:rsidR="00AE1461" w:rsidRDefault="00AE1461" w:rsidP="00AE1461"/>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AE1461">
        <w:rPr>
          <w:rFonts w:ascii="Times New Roman" w:eastAsia="Times New Roman" w:hAnsi="Times New Roman" w:cs="Times New Roman"/>
          <w:b/>
          <w:caps/>
          <w:kern w:val="0"/>
          <w:sz w:val="28"/>
          <w:szCs w:val="20"/>
          <w:lang w:val="uk-UA" w:eastAsia="ru-RU"/>
        </w:rPr>
        <w:t>Зміст</w:t>
      </w: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Стор.</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caps/>
          <w:kern w:val="0"/>
          <w:sz w:val="28"/>
          <w:szCs w:val="20"/>
          <w:lang w:val="uk-UA" w:eastAsia="ru-RU"/>
        </w:rPr>
        <w:t>Вступ</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kern w:val="0"/>
          <w:sz w:val="28"/>
          <w:szCs w:val="20"/>
          <w:lang w:val="uk-UA" w:eastAsia="ru-RU"/>
        </w:rPr>
        <w:t>4</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Розділ 1</w:t>
      </w:r>
      <w:r w:rsidRPr="00AE1461">
        <w:rPr>
          <w:rFonts w:ascii="Times New Roman" w:eastAsia="Times New Roman" w:hAnsi="Times New Roman" w:cs="Times New Roman"/>
          <w:caps/>
          <w:kern w:val="0"/>
          <w:sz w:val="28"/>
          <w:szCs w:val="20"/>
          <w:lang w:val="uk-UA" w:eastAsia="ru-RU"/>
        </w:rPr>
        <w:tab/>
        <w:t>Зміна стану гумусу залежно від систем обробітку і удобрення грунту</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8</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1.1. Гумус як основний показник родючості грунту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8</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1.2. Стан гумусу грунтів Полісся</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12</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1.3. Вплив систем обробітку на гумусовий стан</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15</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1.4. Стан гумусу в залежності від систем удобрення</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23</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1.5. Вплив систем обробітку грунту на ефективну родючість</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28</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Розділ 2</w:t>
      </w:r>
      <w:r w:rsidRPr="00AE1461">
        <w:rPr>
          <w:rFonts w:ascii="Times New Roman" w:eastAsia="Times New Roman" w:hAnsi="Times New Roman" w:cs="Times New Roman"/>
          <w:caps/>
          <w:kern w:val="0"/>
          <w:sz w:val="28"/>
          <w:szCs w:val="20"/>
          <w:lang w:val="uk-UA" w:eastAsia="ru-RU"/>
        </w:rPr>
        <w:tab/>
        <w:t>Об’єкти, методика, умови проведення досліджень</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31</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2.1. Програма досліджень</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31</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2.2. Методика і об’єкт досліджень</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31</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2.3. Агрометеорологічні умови в роки проведення досліджень</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46</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eastAsia="ru-RU"/>
        </w:rPr>
      </w:pPr>
      <w:r w:rsidRPr="00AE1461">
        <w:rPr>
          <w:rFonts w:ascii="Times New Roman" w:eastAsia="Times New Roman" w:hAnsi="Times New Roman" w:cs="Times New Roman"/>
          <w:caps/>
          <w:kern w:val="0"/>
          <w:sz w:val="28"/>
          <w:szCs w:val="20"/>
          <w:lang w:val="uk-UA" w:eastAsia="ru-RU"/>
        </w:rPr>
        <w:t>Розділ 3</w:t>
      </w:r>
      <w:r w:rsidRPr="00AE1461">
        <w:rPr>
          <w:rFonts w:ascii="Times New Roman" w:eastAsia="Times New Roman" w:hAnsi="Times New Roman" w:cs="Times New Roman"/>
          <w:caps/>
          <w:kern w:val="0"/>
          <w:sz w:val="28"/>
          <w:szCs w:val="20"/>
          <w:lang w:val="uk-UA" w:eastAsia="ru-RU"/>
        </w:rPr>
        <w:tab/>
        <w:t>Зміни родючості дерново-підзолистих грунтів за тривалого сільськогосподарського використання</w:t>
      </w:r>
      <w:r w:rsidRPr="00AE1461">
        <w:rPr>
          <w:rFonts w:ascii="Times New Roman" w:eastAsia="Times New Roman" w:hAnsi="Times New Roman" w:cs="Times New Roman"/>
          <w:caps/>
          <w:kern w:val="0"/>
          <w:sz w:val="28"/>
          <w:szCs w:val="20"/>
          <w:lang w:val="uk-UA" w:eastAsia="ru-RU"/>
        </w:rPr>
        <w:tab/>
        <w:t>49</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Розділ 4</w:t>
      </w:r>
      <w:r w:rsidRPr="00AE1461">
        <w:rPr>
          <w:rFonts w:ascii="Times New Roman" w:eastAsia="Times New Roman" w:hAnsi="Times New Roman" w:cs="Times New Roman"/>
          <w:caps/>
          <w:kern w:val="0"/>
          <w:sz w:val="28"/>
          <w:szCs w:val="20"/>
          <w:lang w:val="uk-UA" w:eastAsia="ru-RU"/>
        </w:rPr>
        <w:tab/>
        <w:t>Вплив тривалого застосування ґрунтозахисних технологій вирощування сільськогосподарських культур на вміст, запаси і якісний склад гумусу</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59</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4.1. Вміст гумусу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61</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4.2. Запаси гумусу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70</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4.3. Групово-фракційний склад гумусу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75</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4.4. Активний і пасивний гумус</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79</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4.5. Водорозчинний гумус</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87</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4.6. Показники гумусного стану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93</w:t>
      </w:r>
    </w:p>
    <w:p w:rsidR="00AE1461" w:rsidRPr="00AE1461" w:rsidRDefault="00AE1461" w:rsidP="00AE1461">
      <w:pPr>
        <w:widowControl/>
        <w:tabs>
          <w:tab w:val="clear" w:pos="709"/>
        </w:tabs>
        <w:suppressAutoHyphens w:val="0"/>
        <w:spacing w:after="0" w:line="360" w:lineRule="auto"/>
        <w:ind w:firstLine="1134"/>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4.7. Запаси енергії в гумусі</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97</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Розділ 5</w:t>
      </w:r>
      <w:r w:rsidRPr="00AE1461">
        <w:rPr>
          <w:rFonts w:ascii="Times New Roman" w:eastAsia="Times New Roman" w:hAnsi="Times New Roman" w:cs="Times New Roman"/>
          <w:caps/>
          <w:kern w:val="0"/>
          <w:sz w:val="28"/>
          <w:szCs w:val="20"/>
          <w:lang w:val="uk-UA" w:eastAsia="ru-RU"/>
        </w:rPr>
        <w:tab/>
        <w:t>баланс гумусу в зерно-льоно-картопляній сівозміні</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100</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5.1. Метод Г.Я. Чесняка</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102</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5.2. Метод О.М. Ликова</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106</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5.3. Метод О.Г. Тараріко, М.Г. Лобаса</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110</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5.4. Порівняння методів розрахунку балансу гумусу</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113</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eastAsia="ru-RU"/>
        </w:rPr>
      </w:pPr>
      <w:r w:rsidRPr="00AE1461">
        <w:rPr>
          <w:rFonts w:ascii="Times New Roman" w:eastAsia="Times New Roman" w:hAnsi="Times New Roman" w:cs="Times New Roman"/>
          <w:caps/>
          <w:kern w:val="0"/>
          <w:sz w:val="28"/>
          <w:szCs w:val="20"/>
          <w:lang w:val="uk-UA" w:eastAsia="ru-RU"/>
        </w:rPr>
        <w:t>Розділ 6</w:t>
      </w:r>
      <w:r w:rsidRPr="00AE1461">
        <w:rPr>
          <w:rFonts w:ascii="Times New Roman" w:eastAsia="Times New Roman" w:hAnsi="Times New Roman" w:cs="Times New Roman"/>
          <w:caps/>
          <w:kern w:val="0"/>
          <w:sz w:val="28"/>
          <w:szCs w:val="20"/>
          <w:lang w:val="uk-UA" w:eastAsia="ru-RU"/>
        </w:rPr>
        <w:tab/>
        <w:t>Активність окисно-відновних ферментів і коефіцієнт накопичення гумусу за різних систем обробітку і добрив</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116</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eastAsia="ru-RU"/>
        </w:rPr>
      </w:pPr>
      <w:r w:rsidRPr="00AE1461">
        <w:rPr>
          <w:rFonts w:ascii="Times New Roman" w:eastAsia="Times New Roman" w:hAnsi="Times New Roman" w:cs="Times New Roman"/>
          <w:caps/>
          <w:kern w:val="0"/>
          <w:sz w:val="28"/>
          <w:szCs w:val="20"/>
          <w:lang w:val="uk-UA" w:eastAsia="ru-RU"/>
        </w:rPr>
        <w:t>Розділ 7</w:t>
      </w:r>
      <w:r w:rsidRPr="00AE1461">
        <w:rPr>
          <w:rFonts w:ascii="Times New Roman" w:eastAsia="Times New Roman" w:hAnsi="Times New Roman" w:cs="Times New Roman"/>
          <w:caps/>
          <w:kern w:val="0"/>
          <w:sz w:val="28"/>
          <w:szCs w:val="20"/>
          <w:lang w:val="uk-UA" w:eastAsia="ru-RU"/>
        </w:rPr>
        <w:tab/>
        <w:t>Зв’язок між факторами гумусного стану і врожайністю озимого жита</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125</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eastAsia="ru-RU"/>
        </w:rPr>
      </w:pPr>
      <w:r w:rsidRPr="00AE1461">
        <w:rPr>
          <w:rFonts w:ascii="Times New Roman" w:eastAsia="Times New Roman" w:hAnsi="Times New Roman" w:cs="Times New Roman"/>
          <w:caps/>
          <w:kern w:val="0"/>
          <w:sz w:val="28"/>
          <w:szCs w:val="20"/>
          <w:lang w:val="uk-UA" w:eastAsia="ru-RU"/>
        </w:rPr>
        <w:t>Розділ 8</w:t>
      </w:r>
      <w:r w:rsidRPr="00AE1461">
        <w:rPr>
          <w:rFonts w:ascii="Times New Roman" w:eastAsia="Times New Roman" w:hAnsi="Times New Roman" w:cs="Times New Roman"/>
          <w:caps/>
          <w:kern w:val="0"/>
          <w:sz w:val="28"/>
          <w:szCs w:val="20"/>
          <w:lang w:val="uk-UA" w:eastAsia="ru-RU"/>
        </w:rPr>
        <w:tab/>
        <w:t>Агрономічна і економічна ефективність технологій вирощування сільськогосподарських культур</w:t>
      </w:r>
      <w:r w:rsidRPr="00AE1461">
        <w:rPr>
          <w:rFonts w:ascii="Times New Roman" w:eastAsia="Times New Roman" w:hAnsi="Times New Roman" w:cs="Times New Roman"/>
          <w:caps/>
          <w:kern w:val="0"/>
          <w:sz w:val="28"/>
          <w:szCs w:val="20"/>
          <w:lang w:val="uk-UA" w:eastAsia="ru-RU"/>
        </w:rPr>
        <w:tab/>
        <w:t>128</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8.1. Агрономічна ефективність систем обробітку грунту і добрив</w:t>
      </w:r>
      <w:r w:rsidRPr="00AE1461">
        <w:rPr>
          <w:rFonts w:ascii="Times New Roman" w:eastAsia="Times New Roman" w:hAnsi="Times New Roman" w:cs="Times New Roman"/>
          <w:kern w:val="0"/>
          <w:sz w:val="28"/>
          <w:szCs w:val="20"/>
          <w:lang w:val="uk-UA" w:eastAsia="ru-RU"/>
        </w:rPr>
        <w:tab/>
        <w:t>128</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8.1.1. Врожайність сільськогосподарських культур в зерно-льоно-картопляній сівозміні</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130</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8.2. Продуктивність зерно-льоно-картопляної сівозміни</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138</w:t>
      </w:r>
    </w:p>
    <w:p w:rsidR="00AE1461" w:rsidRPr="00AE1461" w:rsidRDefault="00AE1461" w:rsidP="00AE1461">
      <w:pPr>
        <w:widowControl/>
        <w:tabs>
          <w:tab w:val="clear" w:pos="709"/>
        </w:tabs>
        <w:suppressAutoHyphens w:val="0"/>
        <w:spacing w:after="0" w:line="360" w:lineRule="auto"/>
        <w:ind w:left="1134"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8.3. Економічна ефективність вирощування озимого жита</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140</w:t>
      </w:r>
    </w:p>
    <w:p w:rsidR="00AE1461" w:rsidRPr="00AE1461" w:rsidRDefault="00AE1461" w:rsidP="00AE1461">
      <w:pPr>
        <w:keepNext/>
        <w:widowControl/>
        <w:tabs>
          <w:tab w:val="clear" w:pos="709"/>
        </w:tabs>
        <w:suppressAutoHyphens w:val="0"/>
        <w:spacing w:after="0" w:line="360" w:lineRule="auto"/>
        <w:ind w:left="567" w:firstLine="0"/>
        <w:outlineLvl w:val="1"/>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Висновки</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144</w:t>
      </w:r>
    </w:p>
    <w:p w:rsidR="00AE1461" w:rsidRPr="00AE1461" w:rsidRDefault="00AE1461" w:rsidP="00AE1461">
      <w:pPr>
        <w:keepNext/>
        <w:widowControl/>
        <w:numPr>
          <w:ilvl w:val="0"/>
          <w:numId w:val="1"/>
        </w:numPr>
        <w:tabs>
          <w:tab w:val="clear" w:pos="360"/>
          <w:tab w:val="clear" w:pos="709"/>
        </w:tabs>
        <w:suppressAutoHyphens w:val="0"/>
        <w:spacing w:after="0" w:line="360" w:lineRule="auto"/>
        <w:ind w:left="567" w:firstLine="0"/>
        <w:outlineLvl w:val="0"/>
        <w:rPr>
          <w:rFonts w:ascii="Times New Roman" w:eastAsia="Times New Roman" w:hAnsi="Times New Roman" w:cs="Times New Roman"/>
          <w:caps/>
          <w:kern w:val="0"/>
          <w:sz w:val="28"/>
          <w:szCs w:val="20"/>
          <w:lang w:val="en-US" w:eastAsia="ru-RU"/>
        </w:rPr>
      </w:pPr>
      <w:r w:rsidRPr="00AE1461">
        <w:rPr>
          <w:rFonts w:ascii="Times New Roman" w:eastAsia="Times New Roman" w:hAnsi="Times New Roman" w:cs="Times New Roman"/>
          <w:caps/>
          <w:kern w:val="0"/>
          <w:sz w:val="28"/>
          <w:szCs w:val="20"/>
          <w:lang w:val="uk-UA" w:eastAsia="ru-RU"/>
        </w:rPr>
        <w:t>Рекомендації виробництву</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146</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caps/>
          <w:kern w:val="0"/>
          <w:sz w:val="28"/>
          <w:szCs w:val="20"/>
          <w:lang w:val="uk-UA" w:eastAsia="ru-RU"/>
        </w:rPr>
      </w:pPr>
      <w:r w:rsidRPr="00AE1461">
        <w:rPr>
          <w:rFonts w:ascii="Times New Roman" w:eastAsia="Times New Roman" w:hAnsi="Times New Roman" w:cs="Times New Roman"/>
          <w:caps/>
          <w:kern w:val="0"/>
          <w:sz w:val="28"/>
          <w:szCs w:val="20"/>
          <w:lang w:val="uk-UA" w:eastAsia="ru-RU"/>
        </w:rPr>
        <w:t>Список використаНИХ ДЖЕРЕл</w:t>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r>
      <w:r w:rsidRPr="00AE1461">
        <w:rPr>
          <w:rFonts w:ascii="Times New Roman" w:eastAsia="Times New Roman" w:hAnsi="Times New Roman" w:cs="Times New Roman"/>
          <w:caps/>
          <w:kern w:val="0"/>
          <w:sz w:val="28"/>
          <w:szCs w:val="20"/>
          <w:lang w:val="uk-UA" w:eastAsia="ru-RU"/>
        </w:rPr>
        <w:tab/>
        <w:t>147</w:t>
      </w:r>
    </w:p>
    <w:p w:rsidR="00AE1461" w:rsidRPr="00AE1461" w:rsidRDefault="00AE1461" w:rsidP="00AE1461">
      <w:pPr>
        <w:widowControl/>
        <w:tabs>
          <w:tab w:val="clear" w:pos="709"/>
        </w:tabs>
        <w:suppressAutoHyphens w:val="0"/>
        <w:spacing w:after="0" w:line="360" w:lineRule="auto"/>
        <w:ind w:left="567" w:firstLine="0"/>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ДОДАТКИ</w:t>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r>
      <w:r w:rsidRPr="00AE1461">
        <w:rPr>
          <w:rFonts w:ascii="Times New Roman" w:eastAsia="Times New Roman" w:hAnsi="Times New Roman" w:cs="Times New Roman"/>
          <w:kern w:val="0"/>
          <w:sz w:val="28"/>
          <w:szCs w:val="20"/>
          <w:lang w:val="uk-UA" w:eastAsia="ru-RU"/>
        </w:rPr>
        <w:tab/>
        <w:t>169</w:t>
      </w:r>
    </w:p>
    <w:p w:rsidR="00AE1461" w:rsidRDefault="00AE1461" w:rsidP="00AE1461"/>
    <w:p w:rsidR="00AE1461" w:rsidRDefault="00AE1461" w:rsidP="00AE1461"/>
    <w:p w:rsidR="00AE1461" w:rsidRDefault="00AE1461" w:rsidP="00AE1461"/>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AE1461">
        <w:rPr>
          <w:rFonts w:ascii="Times New Roman" w:eastAsia="Times New Roman" w:hAnsi="Times New Roman" w:cs="Times New Roman"/>
          <w:b/>
          <w:caps/>
          <w:kern w:val="0"/>
          <w:sz w:val="28"/>
          <w:szCs w:val="20"/>
          <w:lang w:val="uk-UA" w:eastAsia="ru-RU"/>
        </w:rPr>
        <w:t>Висновки</w:t>
      </w: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caps/>
          <w:kern w:val="0"/>
          <w:sz w:val="28"/>
          <w:szCs w:val="20"/>
          <w:lang w:val="uk-UA" w:eastAsia="ru-RU"/>
        </w:rPr>
        <w:t>1. В</w:t>
      </w:r>
      <w:r w:rsidRPr="00AE1461">
        <w:rPr>
          <w:rFonts w:ascii="Times New Roman" w:eastAsia="Times New Roman" w:hAnsi="Times New Roman" w:cs="Times New Roman"/>
          <w:kern w:val="0"/>
          <w:sz w:val="28"/>
          <w:szCs w:val="20"/>
          <w:lang w:val="uk-UA" w:eastAsia="ru-RU"/>
        </w:rPr>
        <w:t xml:space="preserve"> процесі сільськогосподарського використання в дерново-підзолистих грунтах відбуваються зміни властивостей. Довгострокове використання технологій вирощування сільськогосподарських культур змінює основні фізико-хімічні показники грунту порівняно з перелогом (18 років). При оранці кислотність грунту зменшується на 0,6, а за плоскорізного обробітку збільшується на 0,1 одиницю порівняно з перелогом. При застосуванні оранки і плоскорізного обробітку зменшується гідролітична кислотність на 0,07-0,48, сума увібраних основ на 0,40-0,69 мг-екв на 100 г грунту, а також ступінь насичення основами на 3,3 - 3,4 % порівняно з перелогом.</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2. Довгострокове застосування систем обробітку у поєднанні з органічними і мінеральними добривами сприяють підвищенню вмісту і запасів гумусу порівняно з варіантами, де добрив не вносили. Плоскорізний обробіток сприяє накопиченню гумусу на 0,07-0,21 % і збільшує його запаси порівняно з комбінованим і оранкою на 4.2 - 9,8 т/га.</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3. Застосування різних систем обробітку та внесення одинарної і полуторної норм добрив порівняно з контролем розширяють співвідношення між гуміновими і фульвокислотами, сприяють зменшенню суми ФК і збільшенню суми ГК. Фульватно-гуматний тип гумусу створюється за плоскорізного обробітку на фоні одинарної і полуторної норм добрив (1,03 і 1,11).</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4. Довгострокове застосування систем обробітку на фоні добрив сприяє підвищенню запасів активного гумусу і зменшує запаси пасивного порівняно з контролем. Найбільші його запаси утворюються за плоскорізного обробітку при внесенні полуторної норми добрив – 44,6 т/га.</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 xml:space="preserve">5. Ґрунтозахисні технології збільшують вміст водорозчинного гумусу на 0,016 – 0,024 % абсолютних, сприяють накопиченню запасів енергії в гумусі на </w:t>
      </w:r>
      <w:r w:rsidRPr="00AE1461">
        <w:rPr>
          <w:rFonts w:ascii="Times New Roman" w:eastAsia="Times New Roman" w:hAnsi="Times New Roman" w:cs="Times New Roman"/>
          <w:color w:val="000000"/>
          <w:kern w:val="0"/>
          <w:sz w:val="28"/>
          <w:szCs w:val="20"/>
          <w:lang w:val="sk-SK" w:eastAsia="ru-RU"/>
        </w:rPr>
        <w:t>0,9 – 5.5</w:t>
      </w:r>
      <w:r w:rsidRPr="00AE1461">
        <w:rPr>
          <w:rFonts w:ascii="Times New Roman" w:eastAsia="Times New Roman" w:hAnsi="Times New Roman" w:cs="Times New Roman"/>
          <w:snapToGrid w:val="0"/>
          <w:color w:val="000000"/>
          <w:kern w:val="0"/>
          <w:sz w:val="28"/>
          <w:szCs w:val="20"/>
          <w:lang w:val="uk-UA" w:eastAsia="ru-RU"/>
        </w:rPr>
        <w:t>×10</w:t>
      </w:r>
      <w:r w:rsidRPr="00AE1461">
        <w:rPr>
          <w:rFonts w:ascii="Times New Roman" w:eastAsia="Times New Roman" w:hAnsi="Times New Roman" w:cs="Times New Roman"/>
          <w:snapToGrid w:val="0"/>
          <w:color w:val="000000"/>
          <w:kern w:val="0"/>
          <w:sz w:val="28"/>
          <w:szCs w:val="20"/>
          <w:vertAlign w:val="superscript"/>
          <w:lang w:val="uk-UA" w:eastAsia="ru-RU"/>
        </w:rPr>
        <w:t>2</w:t>
      </w:r>
      <w:r w:rsidRPr="00AE1461">
        <w:rPr>
          <w:rFonts w:ascii="Times New Roman" w:eastAsia="Times New Roman" w:hAnsi="Times New Roman" w:cs="Times New Roman"/>
          <w:snapToGrid w:val="0"/>
          <w:color w:val="000000"/>
          <w:kern w:val="0"/>
          <w:sz w:val="28"/>
          <w:szCs w:val="20"/>
          <w:lang w:val="uk-UA" w:eastAsia="ru-RU"/>
        </w:rPr>
        <w:t xml:space="preserve"> млн ккал/га</w:t>
      </w:r>
      <w:r w:rsidRPr="00AE1461">
        <w:rPr>
          <w:rFonts w:ascii="Times New Roman" w:eastAsia="Times New Roman" w:hAnsi="Times New Roman" w:cs="Times New Roman"/>
          <w:kern w:val="0"/>
          <w:sz w:val="28"/>
          <w:szCs w:val="20"/>
          <w:lang w:val="uk-UA" w:eastAsia="ru-RU"/>
        </w:rPr>
        <w:t>.</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color w:val="000000"/>
          <w:spacing w:val="-4"/>
          <w:kern w:val="0"/>
          <w:sz w:val="28"/>
          <w:szCs w:val="20"/>
          <w:lang w:val="uk-UA" w:eastAsia="ru-RU"/>
        </w:rPr>
      </w:pPr>
      <w:r w:rsidRPr="00AE1461">
        <w:rPr>
          <w:rFonts w:ascii="Times New Roman" w:eastAsia="Times New Roman" w:hAnsi="Times New Roman" w:cs="Times New Roman"/>
          <w:kern w:val="0"/>
          <w:sz w:val="28"/>
          <w:szCs w:val="20"/>
          <w:lang w:val="uk-UA" w:eastAsia="ru-RU"/>
        </w:rPr>
        <w:t>6. Плоскорізний обробіток у поєднанні з внесенням органічних і мінеральних добрив сприяє утворенню позитивного балансу гумусу порівняно з оранкою і комбінованим обробітком, за рахунок зменшення інтенсивності мінералізації і ерозійних втрат гумусу порівняно з іншими обробітками. При розрахунку балансу гумусу найдоцільніша виявилась методика Г.Я.Чесняка</w:t>
      </w:r>
      <w:r w:rsidRPr="00AE1461">
        <w:rPr>
          <w:rFonts w:ascii="Times New Roman" w:eastAsia="Times New Roman" w:hAnsi="Times New Roman" w:cs="Times New Roman"/>
          <w:color w:val="000000"/>
          <w:spacing w:val="-4"/>
          <w:kern w:val="0"/>
          <w:sz w:val="28"/>
          <w:szCs w:val="20"/>
          <w:lang w:val="uk-UA" w:eastAsia="ru-RU"/>
        </w:rPr>
        <w:t>. Розрахунки показують, що за показниками балансу треба вносити 18-20 т гною на гектар сівозмінної площі.</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color w:val="000000"/>
          <w:spacing w:val="-4"/>
          <w:kern w:val="0"/>
          <w:sz w:val="28"/>
          <w:szCs w:val="20"/>
          <w:lang w:val="uk-UA" w:eastAsia="ru-RU"/>
        </w:rPr>
      </w:pPr>
      <w:r w:rsidRPr="00AE1461">
        <w:rPr>
          <w:rFonts w:ascii="Times New Roman" w:eastAsia="Times New Roman" w:hAnsi="Times New Roman" w:cs="Times New Roman"/>
          <w:color w:val="000000"/>
          <w:spacing w:val="-4"/>
          <w:kern w:val="0"/>
          <w:sz w:val="28"/>
          <w:szCs w:val="20"/>
          <w:lang w:val="uk-UA" w:eastAsia="ru-RU"/>
        </w:rPr>
        <w:t>Методика Г.Я.Чесняка дає можливість доцільно оцінити гумусовий стан дерново-підзолистих грунтів, що підтверджується нашими розрахунками в стаціонарному досліді. Її з урахуванням відповідних коефіцієнтів (гуміфікації і мінералізації), можна застосовувати в агрономічній практиці на дерново-підзолистих грунтах Полісся.</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7. Активність окисно-відновних ферментів за три роки досліджень залежала від гідротермічних умов, системи обробітку грунту і удобрення. Встановлено, що плоскорізний і комбінований обробіток при внесенні одинарної і полуторної норм добрив сприяли підвищенню активності поліфенолоксидази, зменшенню активності пероксидази і підвищенню коефіцієнта накопичення гумусу, що позитивно впливало на вміст і його запаси.</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8. Доведено тісний кореляційний зв’язок між показниками гумусного стану і врожайністю озимого жита (</w:t>
      </w:r>
      <w:r w:rsidRPr="00AE1461">
        <w:rPr>
          <w:rFonts w:ascii="Times New Roman" w:eastAsia="Times New Roman" w:hAnsi="Times New Roman" w:cs="Times New Roman"/>
          <w:kern w:val="0"/>
          <w:sz w:val="28"/>
          <w:szCs w:val="20"/>
          <w:lang w:val="en-US" w:eastAsia="ru-RU"/>
        </w:rPr>
        <w:t>r</w:t>
      </w:r>
      <w:r w:rsidRPr="00AE1461">
        <w:rPr>
          <w:rFonts w:ascii="Times New Roman" w:eastAsia="Times New Roman" w:hAnsi="Times New Roman" w:cs="Times New Roman"/>
          <w:kern w:val="0"/>
          <w:sz w:val="28"/>
          <w:szCs w:val="20"/>
          <w:lang w:val="uk-UA" w:eastAsia="ru-RU"/>
        </w:rPr>
        <w:t>=0,7 – 0,9). Між вмістом активного і пасивного гумусу встановлена протилежна кореляційна залежність (</w:t>
      </w:r>
      <w:r w:rsidRPr="00AE1461">
        <w:rPr>
          <w:rFonts w:ascii="Times New Roman" w:eastAsia="Times New Roman" w:hAnsi="Times New Roman" w:cs="Times New Roman"/>
          <w:kern w:val="0"/>
          <w:sz w:val="28"/>
          <w:szCs w:val="20"/>
          <w:lang w:val="en-US" w:eastAsia="ru-RU"/>
        </w:rPr>
        <w:t>r</w:t>
      </w:r>
      <w:r w:rsidRPr="00AE1461">
        <w:rPr>
          <w:rFonts w:ascii="Times New Roman" w:eastAsia="Times New Roman" w:hAnsi="Times New Roman" w:cs="Times New Roman"/>
          <w:kern w:val="0"/>
          <w:sz w:val="28"/>
          <w:szCs w:val="20"/>
          <w:lang w:val="uk-UA" w:eastAsia="ru-RU"/>
        </w:rPr>
        <w:t>= – 0,9).</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9. Технології, які базуються на безполицевому обробітку, сприяють підвищенню продуктивності сівозміни, в тому числі підвищують врожайність озимого жита порівняно з оранкою і плоскорізним обробітком на 2,5 ц/га.</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10. Плоскорізний обробіток порівняно з оранкою і комбінованим обробітком підвищує чистий прибуток на 81,6 грн/га і рівень рентабельності на 28 %.</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AE1461">
        <w:rPr>
          <w:rFonts w:ascii="Times New Roman" w:eastAsia="Times New Roman" w:hAnsi="Times New Roman" w:cs="Times New Roman"/>
          <w:b/>
          <w:kern w:val="0"/>
          <w:sz w:val="28"/>
          <w:szCs w:val="20"/>
          <w:lang w:val="uk-UA" w:eastAsia="ru-RU"/>
        </w:rPr>
        <w:t>Рекомендації виробництву</w:t>
      </w: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rsidR="00AE1461" w:rsidRPr="00AE1461" w:rsidRDefault="00AE1461" w:rsidP="00AE1461">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1. Для збереження і підвищення родючості і підвищення рівня рентабельності на дерново-середньопідзолистих глеюватих глинисто-піщаних грунтах центрального Полісся використовувати ґрунтозахисні технології вирощування сільськогосподарських культур, які базуються на плоскорізному обробітку грунту на глибину 18-20 см.</w:t>
      </w:r>
    </w:p>
    <w:p w:rsidR="00AE1461" w:rsidRPr="00AE1461" w:rsidRDefault="00AE1461" w:rsidP="00AE1461">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 xml:space="preserve">2. При застосуванні ґрунтозахисних технологій, які базуються на плоскорізному обробітку, для регулювання стану гумусу вносити на гектар сівозмінної площі полуторну норму добрив - </w:t>
      </w:r>
      <w:r w:rsidRPr="00AE1461">
        <w:rPr>
          <w:rFonts w:ascii="Times New Roman" w:eastAsia="Times New Roman" w:hAnsi="Times New Roman" w:cs="Times New Roman"/>
          <w:kern w:val="0"/>
          <w:sz w:val="28"/>
          <w:szCs w:val="20"/>
          <w:lang w:eastAsia="ru-RU"/>
        </w:rPr>
        <w:t xml:space="preserve">13,3 т/га гною + </w:t>
      </w:r>
      <w:r w:rsidRPr="00AE1461">
        <w:rPr>
          <w:rFonts w:ascii="Times New Roman" w:eastAsia="Times New Roman" w:hAnsi="Times New Roman" w:cs="Times New Roman"/>
          <w:kern w:val="0"/>
          <w:sz w:val="28"/>
          <w:szCs w:val="20"/>
          <w:lang w:val="en-US" w:eastAsia="ru-RU"/>
        </w:rPr>
        <w:t>N</w:t>
      </w:r>
      <w:r w:rsidRPr="00AE1461">
        <w:rPr>
          <w:rFonts w:ascii="Times New Roman" w:eastAsia="Times New Roman" w:hAnsi="Times New Roman" w:cs="Times New Roman"/>
          <w:kern w:val="0"/>
          <w:sz w:val="28"/>
          <w:szCs w:val="20"/>
          <w:vertAlign w:val="subscript"/>
          <w:lang w:eastAsia="ru-RU"/>
        </w:rPr>
        <w:t>46</w:t>
      </w:r>
      <w:r w:rsidRPr="00AE1461">
        <w:rPr>
          <w:rFonts w:ascii="Times New Roman" w:eastAsia="Times New Roman" w:hAnsi="Times New Roman" w:cs="Times New Roman"/>
          <w:kern w:val="0"/>
          <w:sz w:val="28"/>
          <w:szCs w:val="20"/>
          <w:lang w:eastAsia="ru-RU"/>
        </w:rPr>
        <w:t>Р</w:t>
      </w:r>
      <w:r w:rsidRPr="00AE1461">
        <w:rPr>
          <w:rFonts w:ascii="Times New Roman" w:eastAsia="Times New Roman" w:hAnsi="Times New Roman" w:cs="Times New Roman"/>
          <w:kern w:val="0"/>
          <w:sz w:val="28"/>
          <w:szCs w:val="20"/>
          <w:vertAlign w:val="subscript"/>
          <w:lang w:eastAsia="ru-RU"/>
        </w:rPr>
        <w:t>51</w:t>
      </w:r>
      <w:r w:rsidRPr="00AE1461">
        <w:rPr>
          <w:rFonts w:ascii="Times New Roman" w:eastAsia="Times New Roman" w:hAnsi="Times New Roman" w:cs="Times New Roman"/>
          <w:kern w:val="0"/>
          <w:sz w:val="28"/>
          <w:szCs w:val="20"/>
          <w:lang w:eastAsia="ru-RU"/>
        </w:rPr>
        <w:t>К</w:t>
      </w:r>
      <w:r w:rsidRPr="00AE1461">
        <w:rPr>
          <w:rFonts w:ascii="Times New Roman" w:eastAsia="Times New Roman" w:hAnsi="Times New Roman" w:cs="Times New Roman"/>
          <w:kern w:val="0"/>
          <w:sz w:val="28"/>
          <w:szCs w:val="20"/>
          <w:vertAlign w:val="subscript"/>
          <w:lang w:eastAsia="ru-RU"/>
        </w:rPr>
        <w:t>62</w:t>
      </w:r>
      <w:r w:rsidRPr="00AE1461">
        <w:rPr>
          <w:rFonts w:ascii="Times New Roman" w:eastAsia="Times New Roman" w:hAnsi="Times New Roman" w:cs="Times New Roman"/>
          <w:kern w:val="0"/>
          <w:sz w:val="28"/>
          <w:szCs w:val="20"/>
          <w:lang w:val="uk-UA" w:eastAsia="ru-RU"/>
        </w:rPr>
        <w:t>.</w:t>
      </w:r>
    </w:p>
    <w:p w:rsidR="00AE1461" w:rsidRPr="00AE1461" w:rsidRDefault="00AE1461" w:rsidP="00AE1461">
      <w:pPr>
        <w:widowControl/>
        <w:tabs>
          <w:tab w:val="clear" w:pos="709"/>
        </w:tabs>
        <w:suppressAutoHyphens w:val="0"/>
        <w:spacing w:after="0" w:line="360" w:lineRule="auto"/>
        <w:ind w:firstLine="426"/>
        <w:rPr>
          <w:rFonts w:ascii="Times New Roman" w:eastAsia="Times New Roman" w:hAnsi="Times New Roman" w:cs="Times New Roman"/>
          <w:kern w:val="0"/>
          <w:sz w:val="28"/>
          <w:szCs w:val="20"/>
          <w:lang w:val="uk-UA" w:eastAsia="ru-RU"/>
        </w:rPr>
      </w:pPr>
      <w:r w:rsidRPr="00AE1461">
        <w:rPr>
          <w:rFonts w:ascii="Times New Roman" w:eastAsia="Times New Roman" w:hAnsi="Times New Roman" w:cs="Times New Roman"/>
          <w:kern w:val="0"/>
          <w:sz w:val="28"/>
          <w:szCs w:val="20"/>
          <w:lang w:val="uk-UA" w:eastAsia="ru-RU"/>
        </w:rPr>
        <w:t xml:space="preserve">3. При вирощуванні озимого жита застосовувати мінеральні добрива в нормі </w:t>
      </w:r>
      <w:r w:rsidRPr="00AE1461">
        <w:rPr>
          <w:rFonts w:ascii="Times New Roman" w:eastAsia="Times New Roman" w:hAnsi="Times New Roman" w:cs="Times New Roman"/>
          <w:kern w:val="0"/>
          <w:sz w:val="28"/>
          <w:szCs w:val="20"/>
          <w:lang w:val="en-US" w:eastAsia="ru-RU"/>
        </w:rPr>
        <w:t>N</w:t>
      </w:r>
      <w:r w:rsidRPr="00AE1461">
        <w:rPr>
          <w:rFonts w:ascii="Times New Roman" w:eastAsia="Times New Roman" w:hAnsi="Times New Roman" w:cs="Times New Roman"/>
          <w:kern w:val="0"/>
          <w:sz w:val="28"/>
          <w:szCs w:val="20"/>
          <w:vertAlign w:val="subscript"/>
          <w:lang w:val="uk-UA" w:eastAsia="ru-RU"/>
        </w:rPr>
        <w:t>30</w:t>
      </w:r>
      <w:r w:rsidRPr="00AE1461">
        <w:rPr>
          <w:rFonts w:ascii="Times New Roman" w:eastAsia="Times New Roman" w:hAnsi="Times New Roman" w:cs="Times New Roman"/>
          <w:kern w:val="0"/>
          <w:sz w:val="28"/>
          <w:szCs w:val="20"/>
          <w:lang w:val="uk-UA" w:eastAsia="ru-RU"/>
        </w:rPr>
        <w:t>Р</w:t>
      </w:r>
      <w:r w:rsidRPr="00AE1461">
        <w:rPr>
          <w:rFonts w:ascii="Times New Roman" w:eastAsia="Times New Roman" w:hAnsi="Times New Roman" w:cs="Times New Roman"/>
          <w:kern w:val="0"/>
          <w:sz w:val="28"/>
          <w:szCs w:val="20"/>
          <w:vertAlign w:val="subscript"/>
          <w:lang w:val="uk-UA" w:eastAsia="ru-RU"/>
        </w:rPr>
        <w:t>45</w:t>
      </w:r>
      <w:r w:rsidRPr="00AE1461">
        <w:rPr>
          <w:rFonts w:ascii="Times New Roman" w:eastAsia="Times New Roman" w:hAnsi="Times New Roman" w:cs="Times New Roman"/>
          <w:kern w:val="0"/>
          <w:sz w:val="28"/>
          <w:szCs w:val="20"/>
          <w:lang w:val="uk-UA" w:eastAsia="ru-RU"/>
        </w:rPr>
        <w:t>К</w:t>
      </w:r>
      <w:r w:rsidRPr="00AE1461">
        <w:rPr>
          <w:rFonts w:ascii="Times New Roman" w:eastAsia="Times New Roman" w:hAnsi="Times New Roman" w:cs="Times New Roman"/>
          <w:kern w:val="0"/>
          <w:sz w:val="28"/>
          <w:szCs w:val="20"/>
          <w:vertAlign w:val="subscript"/>
          <w:lang w:val="uk-UA" w:eastAsia="ru-RU"/>
        </w:rPr>
        <w:t>60</w:t>
      </w:r>
      <w:r w:rsidRPr="00AE1461">
        <w:rPr>
          <w:rFonts w:ascii="Times New Roman" w:eastAsia="Times New Roman" w:hAnsi="Times New Roman" w:cs="Times New Roman"/>
          <w:kern w:val="0"/>
          <w:sz w:val="28"/>
          <w:szCs w:val="20"/>
          <w:lang w:val="uk-UA" w:eastAsia="ru-RU"/>
        </w:rPr>
        <w:t>.</w:t>
      </w:r>
    </w:p>
    <w:p w:rsidR="00AE1461" w:rsidRPr="00AE1461" w:rsidRDefault="00AE1461" w:rsidP="00AE1461">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AE1461" w:rsidRPr="00AE1461" w:rsidRDefault="00AE1461" w:rsidP="00AE1461">
      <w:pPr>
        <w:rPr>
          <w:lang w:val="uk-UA"/>
        </w:rPr>
      </w:pPr>
    </w:p>
    <w:sectPr w:rsidR="00AE1461" w:rsidRPr="00AE14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2E2" w:rsidRDefault="009B62E2">
      <w:pPr>
        <w:spacing w:after="0" w:line="240" w:lineRule="auto"/>
      </w:pPr>
      <w:r>
        <w:separator/>
      </w:r>
    </w:p>
  </w:endnote>
  <w:endnote w:type="continuationSeparator" w:id="0">
    <w:p w:rsidR="009B62E2" w:rsidRDefault="009B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B62E2" w:rsidRDefault="009B62E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B62E2" w:rsidRDefault="009B62E2">
                <w:pPr>
                  <w:spacing w:line="240" w:lineRule="auto"/>
                </w:pPr>
                <w:fldSimple w:instr=" PAGE \* MERGEFORMAT ">
                  <w:r w:rsidR="00AE1461" w:rsidRPr="00AE1461">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2E2" w:rsidRDefault="009B62E2"/>
    <w:p w:rsidR="009B62E2" w:rsidRDefault="009B62E2"/>
    <w:p w:rsidR="009B62E2" w:rsidRDefault="009B62E2"/>
    <w:p w:rsidR="009B62E2" w:rsidRDefault="009B62E2"/>
    <w:p w:rsidR="009B62E2" w:rsidRDefault="009B62E2"/>
    <w:p w:rsidR="009B62E2" w:rsidRDefault="009B62E2"/>
    <w:p w:rsidR="009B62E2" w:rsidRDefault="009B62E2">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B62E2" w:rsidRDefault="009B62E2">
                  <w:pPr>
                    <w:spacing w:line="240" w:lineRule="auto"/>
                  </w:pPr>
                  <w:fldSimple w:instr=" PAGE \* MERGEFORMAT ">
                    <w:r w:rsidR="00E82AF4" w:rsidRPr="00E82AF4">
                      <w:rPr>
                        <w:rStyle w:val="afffff9"/>
                        <w:b w:val="0"/>
                        <w:bCs w:val="0"/>
                        <w:noProof/>
                      </w:rPr>
                      <w:t>23</w:t>
                    </w:r>
                  </w:fldSimple>
                </w:p>
              </w:txbxContent>
            </v:textbox>
            <w10:wrap anchorx="page" anchory="page"/>
          </v:shape>
        </w:pict>
      </w:r>
    </w:p>
    <w:p w:rsidR="009B62E2" w:rsidRDefault="009B62E2"/>
    <w:p w:rsidR="009B62E2" w:rsidRDefault="009B62E2"/>
    <w:p w:rsidR="009B62E2" w:rsidRDefault="009B62E2">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B62E2" w:rsidRDefault="009B62E2"/>
                <w:p w:rsidR="009B62E2" w:rsidRDefault="009B62E2">
                  <w:pPr>
                    <w:pStyle w:val="1ffffff7"/>
                    <w:spacing w:line="240" w:lineRule="auto"/>
                  </w:pPr>
                  <w:fldSimple w:instr=" PAGE \* MERGEFORMAT ">
                    <w:r w:rsidR="00E82AF4" w:rsidRPr="00E82AF4">
                      <w:rPr>
                        <w:rStyle w:val="3b"/>
                        <w:noProof/>
                      </w:rPr>
                      <w:t>23</w:t>
                    </w:r>
                  </w:fldSimple>
                </w:p>
              </w:txbxContent>
            </v:textbox>
            <w10:wrap anchorx="page" anchory="page"/>
          </v:shape>
        </w:pict>
      </w:r>
    </w:p>
    <w:p w:rsidR="009B62E2" w:rsidRDefault="009B62E2"/>
    <w:p w:rsidR="009B62E2" w:rsidRDefault="009B62E2">
      <w:pPr>
        <w:rPr>
          <w:sz w:val="2"/>
          <w:szCs w:val="2"/>
        </w:rPr>
      </w:pPr>
    </w:p>
    <w:p w:rsidR="009B62E2" w:rsidRDefault="009B62E2"/>
    <w:p w:rsidR="009B62E2" w:rsidRDefault="009B62E2">
      <w:pPr>
        <w:spacing w:after="0" w:line="240" w:lineRule="auto"/>
      </w:pPr>
    </w:p>
  </w:footnote>
  <w:footnote w:type="continuationSeparator" w:id="0">
    <w:p w:rsidR="009B62E2" w:rsidRDefault="009B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Default="009B62E2"/>
  <w:p w:rsidR="009B62E2" w:rsidRDefault="009B62E2">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2E2" w:rsidRPr="005856C0" w:rsidRDefault="009B62E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743F29"/>
    <w:multiLevelType w:val="hybridMultilevel"/>
    <w:tmpl w:val="555C259A"/>
    <w:lvl w:ilvl="0" w:tplc="F5F07992">
      <w:start w:val="14"/>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CA3BB8"/>
    <w:multiLevelType w:val="multilevel"/>
    <w:tmpl w:val="673867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DDC5F25"/>
    <w:multiLevelType w:val="multilevel"/>
    <w:tmpl w:val="A3D260D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ED73EC"/>
    <w:multiLevelType w:val="multilevel"/>
    <w:tmpl w:val="E0942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6225EC"/>
    <w:multiLevelType w:val="multilevel"/>
    <w:tmpl w:val="2AE2AE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6487957"/>
    <w:multiLevelType w:val="multilevel"/>
    <w:tmpl w:val="AF0CC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F05353"/>
    <w:multiLevelType w:val="hybridMultilevel"/>
    <w:tmpl w:val="E04683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7">
    <w:nsid w:val="1ECB0E73"/>
    <w:multiLevelType w:val="multilevel"/>
    <w:tmpl w:val="06DA2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A3E44B5"/>
    <w:multiLevelType w:val="multilevel"/>
    <w:tmpl w:val="1646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E907954"/>
    <w:multiLevelType w:val="multilevel"/>
    <w:tmpl w:val="B846D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FDB13C6"/>
    <w:multiLevelType w:val="hybridMultilevel"/>
    <w:tmpl w:val="A60A7EE8"/>
    <w:lvl w:ilvl="0" w:tplc="E51860DE">
      <w:start w:val="1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nsid w:val="344860AB"/>
    <w:multiLevelType w:val="singleLevel"/>
    <w:tmpl w:val="47B45718"/>
    <w:lvl w:ilvl="0">
      <w:start w:val="1"/>
      <w:numFmt w:val="decimal"/>
      <w:lvlText w:val="%1."/>
      <w:legacy w:legacy="1" w:legacySpace="0" w:legacyIndent="585"/>
      <w:lvlJc w:val="left"/>
      <w:rPr>
        <w:rFonts w:ascii="Times New Roman" w:hAnsi="Times New Roman" w:cs="Times New Roman" w:hint="default"/>
      </w:rPr>
    </w:lvl>
  </w:abstractNum>
  <w:abstractNum w:abstractNumId="93">
    <w:nsid w:val="39EA17CA"/>
    <w:multiLevelType w:val="multilevel"/>
    <w:tmpl w:val="86DAE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EF55C0"/>
    <w:multiLevelType w:val="hybridMultilevel"/>
    <w:tmpl w:val="08448F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nsid w:val="3E56319C"/>
    <w:multiLevelType w:val="hybridMultilevel"/>
    <w:tmpl w:val="78FA86EA"/>
    <w:lvl w:ilvl="0" w:tplc="FA70320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6">
    <w:nsid w:val="3E85436A"/>
    <w:multiLevelType w:val="hybridMultilevel"/>
    <w:tmpl w:val="D3F849B2"/>
    <w:lvl w:ilvl="0" w:tplc="11C642D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8">
    <w:nsid w:val="4797331C"/>
    <w:multiLevelType w:val="hybridMultilevel"/>
    <w:tmpl w:val="03A4F5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9">
    <w:nsid w:val="4DB732B5"/>
    <w:multiLevelType w:val="hybridMultilevel"/>
    <w:tmpl w:val="03A4F5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0">
    <w:nsid w:val="53FA58E8"/>
    <w:multiLevelType w:val="hybridMultilevel"/>
    <w:tmpl w:val="CB10DB12"/>
    <w:lvl w:ilvl="0" w:tplc="727EEA36">
      <w:start w:val="14"/>
      <w:numFmt w:val="bullet"/>
      <w:lvlText w:val="-"/>
      <w:lvlJc w:val="left"/>
      <w:pPr>
        <w:ind w:left="1069" w:hanging="360"/>
      </w:pPr>
      <w:rPr>
        <w:rFonts w:ascii="Times New Roman" w:eastAsia="Times New Roman" w:hAnsi="Times New Roman" w:hint="default"/>
        <w:b/>
        <w:color w:val="00000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1">
    <w:nsid w:val="5CE80A94"/>
    <w:multiLevelType w:val="hybridMultilevel"/>
    <w:tmpl w:val="EFFEAD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607E1BBA"/>
    <w:multiLevelType w:val="hybridMultilevel"/>
    <w:tmpl w:val="B67AE5DE"/>
    <w:lvl w:ilvl="0" w:tplc="1D00EB0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3">
    <w:nsid w:val="63AF7D5B"/>
    <w:multiLevelType w:val="hybridMultilevel"/>
    <w:tmpl w:val="AF980EF8"/>
    <w:lvl w:ilvl="0" w:tplc="BC4E7F58">
      <w:start w:val="4"/>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4">
    <w:nsid w:val="648C0A2A"/>
    <w:multiLevelType w:val="hybridMultilevel"/>
    <w:tmpl w:val="218EBA5E"/>
    <w:lvl w:ilvl="0" w:tplc="90220468">
      <w:start w:val="2"/>
      <w:numFmt w:val="decimal"/>
      <w:lvlText w:val="%1."/>
      <w:lvlJc w:val="left"/>
      <w:pPr>
        <w:tabs>
          <w:tab w:val="num" w:pos="1380"/>
        </w:tabs>
        <w:ind w:left="1380" w:hanging="360"/>
      </w:pPr>
      <w:rPr>
        <w:rFonts w:cs="Times New Roman" w:hint="default"/>
      </w:rPr>
    </w:lvl>
    <w:lvl w:ilvl="1" w:tplc="9E082C6E">
      <w:start w:val="1"/>
      <w:numFmt w:val="bullet"/>
      <w:lvlText w:val=""/>
      <w:lvlJc w:val="left"/>
      <w:pPr>
        <w:tabs>
          <w:tab w:val="num" w:pos="2100"/>
        </w:tabs>
        <w:ind w:left="2100" w:hanging="360"/>
      </w:pPr>
      <w:rPr>
        <w:rFonts w:ascii="Symbol" w:hAnsi="Symbol" w:hint="default"/>
      </w:rPr>
    </w:lvl>
    <w:lvl w:ilvl="2" w:tplc="04190001">
      <w:start w:val="1"/>
      <w:numFmt w:val="bullet"/>
      <w:lvlText w:val=""/>
      <w:lvlJc w:val="left"/>
      <w:pPr>
        <w:tabs>
          <w:tab w:val="num" w:pos="3000"/>
        </w:tabs>
        <w:ind w:left="3000" w:hanging="360"/>
      </w:pPr>
      <w:rPr>
        <w:rFonts w:ascii="Symbol" w:hAnsi="Symbol" w:hint="default"/>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05">
    <w:nsid w:val="68E73F34"/>
    <w:multiLevelType w:val="hybridMultilevel"/>
    <w:tmpl w:val="C4662004"/>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106">
    <w:nsid w:val="692D30E5"/>
    <w:multiLevelType w:val="hybridMultilevel"/>
    <w:tmpl w:val="C2388FE8"/>
    <w:lvl w:ilvl="0" w:tplc="D17299BA">
      <w:start w:val="1"/>
      <w:numFmt w:val="decimal"/>
      <w:lvlText w:val="%1."/>
      <w:legacy w:legacy="1" w:legacySpace="0" w:legacyIndent="360"/>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6B032497"/>
    <w:multiLevelType w:val="hybridMultilevel"/>
    <w:tmpl w:val="7F2E7B56"/>
    <w:lvl w:ilvl="0" w:tplc="F6D6135E">
      <w:start w:val="1"/>
      <w:numFmt w:val="decimal"/>
      <w:lvlText w:val="%1."/>
      <w:lvlJc w:val="left"/>
      <w:pPr>
        <w:tabs>
          <w:tab w:val="num" w:pos="1785"/>
        </w:tabs>
        <w:ind w:left="1785" w:hanging="12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9">
    <w:nsid w:val="7609084F"/>
    <w:multiLevelType w:val="singleLevel"/>
    <w:tmpl w:val="E99EEB64"/>
    <w:lvl w:ilvl="0">
      <w:start w:val="1"/>
      <w:numFmt w:val="decimal"/>
      <w:lvlText w:val="%1."/>
      <w:legacy w:legacy="1" w:legacySpace="0" w:legacyIndent="590"/>
      <w:lvlJc w:val="left"/>
      <w:rPr>
        <w:rFonts w:ascii="Times New Roman" w:hAnsi="Times New Roman" w:cs="Times New Roman" w:hint="default"/>
      </w:rPr>
    </w:lvl>
  </w:abstractNum>
  <w:abstractNum w:abstractNumId="110">
    <w:nsid w:val="7AAC7832"/>
    <w:multiLevelType w:val="multilevel"/>
    <w:tmpl w:val="DC52F6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35288F"/>
    <w:multiLevelType w:val="hybridMultilevel"/>
    <w:tmpl w:val="536E366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2">
    <w:nsid w:val="7F215BD3"/>
    <w:multiLevelType w:val="singleLevel"/>
    <w:tmpl w:val="E04C5276"/>
    <w:lvl w:ilvl="0">
      <w:start w:val="6"/>
      <w:numFmt w:val="decimal"/>
      <w:lvlText w:val="%1."/>
      <w:legacy w:legacy="1" w:legacySpace="0" w:legacyIndent="58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10"/>
  </w:num>
  <w:num w:numId="8">
    <w:abstractNumId w:val="77"/>
  </w:num>
  <w:num w:numId="9">
    <w:abstractNumId w:val="87"/>
  </w:num>
  <w:num w:numId="10">
    <w:abstractNumId w:val="79"/>
  </w:num>
  <w:num w:numId="11">
    <w:abstractNumId w:val="93"/>
  </w:num>
  <w:num w:numId="12">
    <w:abstractNumId w:val="90"/>
  </w:num>
  <w:num w:numId="13">
    <w:abstractNumId w:val="78"/>
  </w:num>
  <w:num w:numId="14">
    <w:abstractNumId w:val="85"/>
  </w:num>
  <w:num w:numId="15">
    <w:abstractNumId w:val="89"/>
  </w:num>
  <w:num w:numId="16">
    <w:abstractNumId w:val="92"/>
  </w:num>
  <w:num w:numId="17">
    <w:abstractNumId w:val="109"/>
  </w:num>
  <w:num w:numId="18">
    <w:abstractNumId w:val="112"/>
  </w:num>
  <w:num w:numId="19">
    <w:abstractNumId w:val="107"/>
  </w:num>
  <w:num w:numId="20">
    <w:abstractNumId w:val="100"/>
  </w:num>
  <w:num w:numId="21">
    <w:abstractNumId w:val="69"/>
  </w:num>
  <w:num w:numId="22">
    <w:abstractNumId w:val="105"/>
  </w:num>
  <w:num w:numId="23">
    <w:abstractNumId w:val="104"/>
  </w:num>
  <w:num w:numId="24">
    <w:abstractNumId w:val="101"/>
  </w:num>
  <w:num w:numId="25">
    <w:abstractNumId w:val="106"/>
  </w:num>
  <w:num w:numId="26">
    <w:abstractNumId w:val="103"/>
  </w:num>
  <w:num w:numId="27">
    <w:abstractNumId w:val="95"/>
  </w:num>
  <w:num w:numId="28">
    <w:abstractNumId w:val="91"/>
  </w:num>
  <w:num w:numId="29">
    <w:abstractNumId w:val="86"/>
  </w:num>
  <w:num w:numId="30">
    <w:abstractNumId w:val="99"/>
  </w:num>
  <w:num w:numId="31">
    <w:abstractNumId w:val="111"/>
  </w:num>
  <w:num w:numId="32">
    <w:abstractNumId w:val="96"/>
  </w:num>
  <w:num w:numId="33">
    <w:abstractNumId w:val="98"/>
  </w:num>
  <w:num w:numId="34">
    <w:abstractNumId w:val="94"/>
  </w:num>
  <w:num w:numId="35">
    <w:abstractNumId w:val="10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63700-DCD9-41DA-ABFF-BC7A1238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996</Words>
  <Characters>5682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2021-08-07T15:41:00Z</dcterms:created>
  <dcterms:modified xsi:type="dcterms:W3CDTF">2021-08-07T18:35:00Z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