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D653D" w14:textId="6F10382C" w:rsidR="00BA31E8" w:rsidRDefault="00943C22" w:rsidP="00943C2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Аминова Гульшат Галимьяновна. Конституционно-правовые споры в процессе создания и деятельности политических партий</w:t>
      </w:r>
      <w:bookmarkEnd w:id="0"/>
      <w:r>
        <w:rPr>
          <w:rFonts w:ascii="Verdana" w:hAnsi="Verdana"/>
          <w:color w:val="000000"/>
          <w:sz w:val="18"/>
          <w:szCs w:val="18"/>
          <w:shd w:val="clear" w:color="auto" w:fill="FFFFFF"/>
        </w:rPr>
        <w:t>: диссертация ... кандидата Юридических наук: 12.00.02 / Аминова Гульшат Галимьяновна;[Место защиты: Национальный исследовательский университет Высшая школа экономики], 2016.- 243 с.</w:t>
      </w:r>
    </w:p>
    <w:p w14:paraId="4D214ACD" w14:textId="77777777" w:rsidR="00943C22" w:rsidRPr="00943C22" w:rsidRDefault="00943C22" w:rsidP="00943C2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43C22">
        <w:rPr>
          <w:rFonts w:ascii="Verdana" w:eastAsia="Times New Roman" w:hAnsi="Verdana" w:cs="Times New Roman"/>
          <w:b/>
          <w:bCs/>
          <w:color w:val="AC370B"/>
          <w:kern w:val="0"/>
          <w:sz w:val="23"/>
          <w:szCs w:val="23"/>
          <w:lang w:eastAsia="ru-RU"/>
        </w:rPr>
        <w:t>Содержание к диссертации</w:t>
      </w:r>
    </w:p>
    <w:p w14:paraId="113F7F1B" w14:textId="77777777" w:rsidR="00943C22" w:rsidRPr="00943C22" w:rsidRDefault="00943C22" w:rsidP="00943C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C22">
        <w:rPr>
          <w:rFonts w:ascii="Verdana" w:eastAsia="Times New Roman" w:hAnsi="Verdana" w:cs="Times New Roman"/>
          <w:color w:val="000000"/>
          <w:kern w:val="0"/>
          <w:sz w:val="18"/>
          <w:szCs w:val="18"/>
          <w:lang w:eastAsia="ru-RU"/>
        </w:rPr>
        <w:t>Введение</w:t>
      </w:r>
    </w:p>
    <w:p w14:paraId="4BFBE01C" w14:textId="77777777" w:rsidR="00943C22" w:rsidRPr="00943C22" w:rsidRDefault="00943C22" w:rsidP="00943C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43C22">
        <w:rPr>
          <w:rFonts w:ascii="Verdana" w:eastAsia="Times New Roman" w:hAnsi="Verdana" w:cs="Times New Roman"/>
          <w:b/>
          <w:bCs/>
          <w:color w:val="000000"/>
          <w:kern w:val="0"/>
          <w:sz w:val="18"/>
          <w:szCs w:val="18"/>
          <w:lang w:eastAsia="ru-RU"/>
        </w:rPr>
        <w:t>1. Современное состояние проблемы 7</w:t>
      </w:r>
    </w:p>
    <w:p w14:paraId="18D17FF2" w14:textId="77777777" w:rsidR="00943C22" w:rsidRPr="00943C22" w:rsidRDefault="00943C22" w:rsidP="00943C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C22">
        <w:rPr>
          <w:rFonts w:ascii="Verdana" w:eastAsia="Times New Roman" w:hAnsi="Verdana" w:cs="Times New Roman"/>
          <w:color w:val="000000"/>
          <w:kern w:val="0"/>
          <w:sz w:val="18"/>
          <w:szCs w:val="18"/>
          <w:lang w:eastAsia="ru-RU"/>
        </w:rPr>
        <w:t>2. Программа, методика и объекты исследований 21</w:t>
      </w:r>
    </w:p>
    <w:p w14:paraId="38261E5D" w14:textId="77777777" w:rsidR="00943C22" w:rsidRPr="00943C22" w:rsidRDefault="00943C22" w:rsidP="00943C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43C22">
        <w:rPr>
          <w:rFonts w:ascii="Verdana" w:eastAsia="Times New Roman" w:hAnsi="Verdana" w:cs="Times New Roman"/>
          <w:b/>
          <w:bCs/>
          <w:color w:val="000000"/>
          <w:kern w:val="0"/>
          <w:sz w:val="18"/>
          <w:szCs w:val="18"/>
          <w:lang w:eastAsia="ru-RU"/>
        </w:rPr>
        <w:t>3. Рост и продуктивность естественных и искусственных насаждений сосны кедровой корейской 28</w:t>
      </w:r>
    </w:p>
    <w:p w14:paraId="29679926" w14:textId="77777777" w:rsidR="00943C22" w:rsidRPr="00943C22" w:rsidRDefault="00943C22" w:rsidP="00943C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C22">
        <w:rPr>
          <w:rFonts w:ascii="Verdana" w:eastAsia="Times New Roman" w:hAnsi="Verdana" w:cs="Times New Roman"/>
          <w:color w:val="000000"/>
          <w:kern w:val="0"/>
          <w:sz w:val="18"/>
          <w:szCs w:val="18"/>
          <w:lang w:eastAsia="ru-RU"/>
        </w:rPr>
        <w:t>3.1. Рост сосны кедровой корейской в естественных насаждениях 28</w:t>
      </w:r>
    </w:p>
    <w:p w14:paraId="066B0599" w14:textId="77777777" w:rsidR="00943C22" w:rsidRPr="00943C22" w:rsidRDefault="00943C22" w:rsidP="00943C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C22">
        <w:rPr>
          <w:rFonts w:ascii="Verdana" w:eastAsia="Times New Roman" w:hAnsi="Verdana" w:cs="Times New Roman"/>
          <w:color w:val="000000"/>
          <w:kern w:val="0"/>
          <w:sz w:val="18"/>
          <w:szCs w:val="18"/>
          <w:lang w:eastAsia="ru-RU"/>
        </w:rPr>
        <w:t>3.2. Урожайность насаждений сосны кедровой корейской 46</w:t>
      </w:r>
    </w:p>
    <w:p w14:paraId="52C27A4D" w14:textId="77777777" w:rsidR="00943C22" w:rsidRPr="00943C22" w:rsidRDefault="00943C22" w:rsidP="00943C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C22">
        <w:rPr>
          <w:rFonts w:ascii="Verdana" w:eastAsia="Times New Roman" w:hAnsi="Verdana" w:cs="Times New Roman"/>
          <w:color w:val="000000"/>
          <w:kern w:val="0"/>
          <w:sz w:val="18"/>
          <w:szCs w:val="18"/>
          <w:lang w:eastAsia="ru-RU"/>
        </w:rPr>
        <w:t>3.3. Рост кедровых сосен в географических культурах 61</w:t>
      </w:r>
    </w:p>
    <w:p w14:paraId="09DAACE6" w14:textId="77777777" w:rsidR="00943C22" w:rsidRPr="00943C22" w:rsidRDefault="00943C22" w:rsidP="00943C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43C22">
        <w:rPr>
          <w:rFonts w:ascii="Verdana" w:eastAsia="Times New Roman" w:hAnsi="Verdana" w:cs="Times New Roman"/>
          <w:b/>
          <w:bCs/>
          <w:color w:val="000000"/>
          <w:kern w:val="0"/>
          <w:sz w:val="18"/>
          <w:szCs w:val="18"/>
          <w:lang w:eastAsia="ru-RU"/>
        </w:rPr>
        <w:t>4. Выращивание сеянцев сосны кедровой корейской с открытой и закрытой корневой системой72</w:t>
      </w:r>
    </w:p>
    <w:p w14:paraId="2527ADA0" w14:textId="77777777" w:rsidR="00943C22" w:rsidRPr="00943C22" w:rsidRDefault="00943C22" w:rsidP="00943C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C22">
        <w:rPr>
          <w:rFonts w:ascii="Verdana" w:eastAsia="Times New Roman" w:hAnsi="Verdana" w:cs="Times New Roman"/>
          <w:color w:val="000000"/>
          <w:kern w:val="0"/>
          <w:sz w:val="18"/>
          <w:szCs w:val="18"/>
          <w:lang w:eastAsia="ru-RU"/>
        </w:rPr>
        <w:t>4.1. Выращивание сеянцев с открытой корневой системой 72</w:t>
      </w:r>
    </w:p>
    <w:p w14:paraId="7E3CA432" w14:textId="77777777" w:rsidR="00943C22" w:rsidRPr="00943C22" w:rsidRDefault="00943C22" w:rsidP="00943C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C22">
        <w:rPr>
          <w:rFonts w:ascii="Verdana" w:eastAsia="Times New Roman" w:hAnsi="Verdana" w:cs="Times New Roman"/>
          <w:color w:val="000000"/>
          <w:kern w:val="0"/>
          <w:sz w:val="18"/>
          <w:szCs w:val="18"/>
          <w:lang w:eastAsia="ru-RU"/>
        </w:rPr>
        <w:t>4.2. Выращивание сеянцев с закрытой корневой системой 84</w:t>
      </w:r>
    </w:p>
    <w:p w14:paraId="77740088" w14:textId="77777777" w:rsidR="00943C22" w:rsidRPr="00943C22" w:rsidRDefault="00943C22" w:rsidP="00943C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43C22">
        <w:rPr>
          <w:rFonts w:ascii="Verdana" w:eastAsia="Times New Roman" w:hAnsi="Verdana" w:cs="Times New Roman"/>
          <w:b/>
          <w:bCs/>
          <w:color w:val="000000"/>
          <w:kern w:val="0"/>
          <w:sz w:val="18"/>
          <w:szCs w:val="18"/>
          <w:lang w:eastAsia="ru-RU"/>
        </w:rPr>
        <w:t>5. Особенности роста сосны кедровой корейской в лесных культурах и городских посадках 93</w:t>
      </w:r>
    </w:p>
    <w:p w14:paraId="384550AD" w14:textId="77777777" w:rsidR="00943C22" w:rsidRPr="00943C22" w:rsidRDefault="00943C22" w:rsidP="00943C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C22">
        <w:rPr>
          <w:rFonts w:ascii="Verdana" w:eastAsia="Times New Roman" w:hAnsi="Verdana" w:cs="Times New Roman"/>
          <w:color w:val="000000"/>
          <w:kern w:val="0"/>
          <w:sz w:val="18"/>
          <w:szCs w:val="18"/>
          <w:lang w:eastAsia="ru-RU"/>
        </w:rPr>
        <w:t>5.1. Рост сосны кедровой корейской в культурах под пологом леса и на открытом пространстве 93</w:t>
      </w:r>
    </w:p>
    <w:p w14:paraId="5634CCA5" w14:textId="77777777" w:rsidR="00943C22" w:rsidRPr="00943C22" w:rsidRDefault="00943C22" w:rsidP="00943C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C22">
        <w:rPr>
          <w:rFonts w:ascii="Verdana" w:eastAsia="Times New Roman" w:hAnsi="Verdana" w:cs="Times New Roman"/>
          <w:color w:val="000000"/>
          <w:kern w:val="0"/>
          <w:sz w:val="18"/>
          <w:szCs w:val="18"/>
          <w:lang w:eastAsia="ru-RU"/>
        </w:rPr>
        <w:t>5.2. Рост сосны кедровой корейской в городских посадках 110</w:t>
      </w:r>
    </w:p>
    <w:p w14:paraId="429BC0F0" w14:textId="77777777" w:rsidR="00943C22" w:rsidRPr="00943C22" w:rsidRDefault="00943C22" w:rsidP="00943C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C22">
        <w:rPr>
          <w:rFonts w:ascii="Verdana" w:eastAsia="Times New Roman" w:hAnsi="Verdana" w:cs="Times New Roman"/>
          <w:color w:val="000000"/>
          <w:kern w:val="0"/>
          <w:sz w:val="18"/>
          <w:szCs w:val="18"/>
          <w:lang w:eastAsia="ru-RU"/>
        </w:rPr>
        <w:t>Заключение 115</w:t>
      </w:r>
    </w:p>
    <w:p w14:paraId="6C459FB6" w14:textId="77777777" w:rsidR="00943C22" w:rsidRPr="00943C22" w:rsidRDefault="00943C22" w:rsidP="00943C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C22">
        <w:rPr>
          <w:rFonts w:ascii="Verdana" w:eastAsia="Times New Roman" w:hAnsi="Verdana" w:cs="Times New Roman"/>
          <w:color w:val="000000"/>
          <w:kern w:val="0"/>
          <w:sz w:val="18"/>
          <w:szCs w:val="18"/>
          <w:lang w:eastAsia="ru-RU"/>
        </w:rPr>
        <w:t>Литература</w:t>
      </w:r>
    </w:p>
    <w:p w14:paraId="69FB5447" w14:textId="77777777" w:rsidR="00943C22" w:rsidRDefault="00943C22" w:rsidP="00943C22">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9DD1184" w14:textId="77777777" w:rsidR="00943C22" w:rsidRDefault="00943C22" w:rsidP="00943C22">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Политическое многообразие и многопартийность, провозглашенные Конституцией Российской Федерации 1993 года, стали основой для развития многочисленных общественных объединений граждан и политической конкуренции.</w:t>
      </w:r>
    </w:p>
    <w:p w14:paraId="60F5DA1B"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на смену нерегулируемому общественно-политическому многообразию 90-х годов прошлого века пришло нормативное регулирование деятельности общественных и, в том числе политических, организаций. Так, политические партии были признаны в качестве единственного вида общественных объединений, которые обладают правом выдвигать кандидатов (списки кандидатов) в депутаты и на выборные должности в органах государственной власти на федеральном и региональном уровнях. Выборы Государственной Думы Федерального Собрания </w:t>
      </w:r>
      <w:r>
        <w:rPr>
          <w:rFonts w:ascii="Verdana" w:hAnsi="Verdana"/>
          <w:color w:val="000000"/>
          <w:sz w:val="18"/>
          <w:szCs w:val="18"/>
        </w:rPr>
        <w:lastRenderedPageBreak/>
        <w:t>Российской Федерации V и VI созывов проходили по пропорциональной избирательной системе, при этом создание избирательных блоков не предусматривалось.</w:t>
      </w:r>
    </w:p>
    <w:p w14:paraId="52BD1FE4"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партизации затронул также и принципы формирования законодательных (представительных) органов субъектов Российской Федерации и представительных органов местного самоуправления, включив в нормативное регулирование порядка их формирования требование об обязательном пропорциональном компоненте в избирательной системе.</w:t>
      </w:r>
    </w:p>
    <w:p w14:paraId="3C7D3EC0"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Повышение роли политических партий, фактическая монополизация ими</w:t>
      </w:r>
      <w:r>
        <w:rPr>
          <w:rFonts w:ascii="Verdana" w:hAnsi="Verdana"/>
          <w:color w:val="000000"/>
          <w:sz w:val="18"/>
          <w:szCs w:val="18"/>
        </w:rPr>
        <w:br/>
        <w:t>избирательного процесса часто сопровождаются недобросовестной</w:t>
      </w:r>
    </w:p>
    <w:p w14:paraId="2BDD2C2F"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конкуренцией и злоупотреблением политическими партиями своими правами, с одной стороны, с другой – являются причиной постоянного пересмотра положений избирательного законодательства в целом и законодательства о политических партиях в частности.</w:t>
      </w:r>
    </w:p>
    <w:p w14:paraId="5EF4D825"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неоднократно пересматривавшиеся положения законодательства о статусе политических партий привели сначала к резкому сокращению числа политических партий в 2001-2002 гг., а затем к такому же резкому его росту в 2012 г. Нельзя не отметить фактическое ограничение прав граждан на</w:t>
      </w:r>
    </w:p>
    <w:p w14:paraId="7214F1CF"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объединение в период ужесточения законодательства о политических партиях в начале 2000-х годов. К таким ограничениям можно отнести, к примеру, установление минимального числа членов и региональных отделений политических партий, невозможность регистрации политических партий по признакам религиозной и профессиональной принадлежности, запрет региональных партий и др. Эти требования явились основаниями для обращения политических партий в Конституционный Суд РФ и суды общей юрисдикции.</w:t>
      </w:r>
    </w:p>
    <w:p w14:paraId="288D8165"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Споры с участием политических партий затрагивают и другие сферы общественно-политической жизни: оспаривание итогов выборов, нарушения в ходе предвыборной агитации, обжалование кандидатами решений и действий политических партий.</w:t>
      </w:r>
    </w:p>
    <w:p w14:paraId="57A9C872"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Споры с участием политических партий рассматриваются как в судебном, так и в административном порядке (прежде всего, избирательными комиссиями). Следует отметить, что не все споры являются конституционно-правовыми, поскольку некоторые из них возникают из других, например, гражданско-правовых отношений. Вследствие этого необходимо определить природу конституционно-правовых споров, выработать критерии для отнесения споров с участием политических партий к конституционно-правовым спорам.</w:t>
      </w:r>
    </w:p>
    <w:p w14:paraId="277BA591"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юридической науке политические партии неоднократно становились объектом исследований</w:t>
      </w:r>
      <w:r>
        <w:rPr>
          <w:rFonts w:ascii="Verdana" w:hAnsi="Verdana"/>
          <w:color w:val="000000"/>
          <w:sz w:val="18"/>
          <w:szCs w:val="18"/>
          <w:vertAlign w:val="superscript"/>
        </w:rPr>
        <w:t>1</w:t>
      </w:r>
      <w:r>
        <w:rPr>
          <w:rFonts w:ascii="Verdana" w:hAnsi="Verdana"/>
          <w:color w:val="000000"/>
          <w:sz w:val="18"/>
          <w:szCs w:val="18"/>
        </w:rPr>
        <w:t>. Вместе с тем работы, посвященные исследованию политических партий, касались различных аспектов создания и деятельности политических партий, оставляя без внимания проблему конфликтов с участием политических партий.</w:t>
      </w:r>
    </w:p>
    <w:p w14:paraId="4D8B7195"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Политические партии были и остаются основными участниками избирательного процесса, однако недобросовестная конкуренция, нарушение</w:t>
      </w:r>
    </w:p>
    <w:p w14:paraId="79914D06"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Style w:val="afe"/>
          <w:rFonts w:ascii="Verdana" w:hAnsi="Verdana"/>
          <w:color w:val="000000"/>
          <w:sz w:val="18"/>
          <w:szCs w:val="18"/>
        </w:rPr>
        <w:t>Байрамов А. Р.</w:t>
      </w:r>
      <w:r>
        <w:rPr>
          <w:rStyle w:val="apple-converted-space"/>
          <w:rFonts w:ascii="Verdana" w:hAnsi="Verdana"/>
          <w:color w:val="000000"/>
          <w:sz w:val="18"/>
          <w:szCs w:val="18"/>
        </w:rPr>
        <w:t> </w:t>
      </w:r>
      <w:r>
        <w:rPr>
          <w:rFonts w:ascii="Verdana" w:hAnsi="Verdana"/>
          <w:color w:val="000000"/>
          <w:sz w:val="18"/>
          <w:szCs w:val="18"/>
        </w:rPr>
        <w:t>Правовое регулирование деятельности политических партий в современных условиях: дисс.</w:t>
      </w:r>
      <w:r>
        <w:rPr>
          <w:rFonts w:ascii="Verdana" w:hAnsi="Verdana"/>
          <w:color w:val="000000"/>
          <w:sz w:val="18"/>
          <w:szCs w:val="18"/>
        </w:rPr>
        <w:br/>
        <w:t>…канд.юрид.наук: 12.00.02. М., 1993,</w:t>
      </w:r>
      <w:r>
        <w:rPr>
          <w:rStyle w:val="apple-converted-space"/>
          <w:rFonts w:ascii="Verdana" w:hAnsi="Verdana"/>
          <w:color w:val="000000"/>
          <w:sz w:val="18"/>
          <w:szCs w:val="18"/>
        </w:rPr>
        <w:t> </w:t>
      </w:r>
      <w:r>
        <w:rPr>
          <w:rStyle w:val="afe"/>
          <w:rFonts w:ascii="Verdana" w:hAnsi="Verdana"/>
          <w:color w:val="000000"/>
          <w:sz w:val="18"/>
          <w:szCs w:val="18"/>
        </w:rPr>
        <w:t>Меликян А. Б.</w:t>
      </w:r>
      <w:r>
        <w:rPr>
          <w:rStyle w:val="apple-converted-space"/>
          <w:rFonts w:ascii="Verdana" w:hAnsi="Verdana"/>
          <w:color w:val="000000"/>
          <w:sz w:val="18"/>
          <w:szCs w:val="18"/>
        </w:rPr>
        <w:t> </w:t>
      </w:r>
      <w:r>
        <w:rPr>
          <w:rFonts w:ascii="Verdana" w:hAnsi="Verdana"/>
          <w:color w:val="000000"/>
          <w:sz w:val="18"/>
          <w:szCs w:val="18"/>
        </w:rPr>
        <w:t>Правовое регулирование государственного</w:t>
      </w:r>
      <w:r>
        <w:rPr>
          <w:rFonts w:ascii="Verdana" w:hAnsi="Verdana"/>
          <w:color w:val="000000"/>
          <w:sz w:val="18"/>
          <w:szCs w:val="18"/>
        </w:rPr>
        <w:br/>
        <w:t>финансирования деятельности политических партий: конституционно-правовой аспект: дисс. …</w:t>
      </w:r>
    </w:p>
    <w:p w14:paraId="5644CE99"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канд.юрид.наук: 12.00.02. М., 2011,</w:t>
      </w:r>
      <w:r>
        <w:rPr>
          <w:rStyle w:val="apple-converted-space"/>
          <w:rFonts w:ascii="Verdana" w:hAnsi="Verdana"/>
          <w:color w:val="000000"/>
          <w:sz w:val="18"/>
          <w:szCs w:val="18"/>
        </w:rPr>
        <w:t> </w:t>
      </w:r>
      <w:r>
        <w:rPr>
          <w:rStyle w:val="afe"/>
          <w:rFonts w:ascii="Verdana" w:hAnsi="Verdana"/>
          <w:color w:val="000000"/>
          <w:sz w:val="18"/>
          <w:szCs w:val="18"/>
        </w:rPr>
        <w:t>Сологуб С. В.</w:t>
      </w:r>
      <w:r>
        <w:rPr>
          <w:rStyle w:val="apple-converted-space"/>
          <w:rFonts w:ascii="Verdana" w:hAnsi="Verdana"/>
          <w:color w:val="000000"/>
          <w:sz w:val="18"/>
          <w:szCs w:val="18"/>
        </w:rPr>
        <w:t> </w:t>
      </w:r>
      <w:r>
        <w:rPr>
          <w:rFonts w:ascii="Verdana" w:hAnsi="Verdana"/>
          <w:color w:val="000000"/>
          <w:sz w:val="18"/>
          <w:szCs w:val="18"/>
        </w:rPr>
        <w:t>Конституционно-правовое регулирование статуса политических партий в Российской Федерации: дисс. …канд.юрид.наук: 12.00.02. М., 2006,</w:t>
      </w:r>
      <w:r>
        <w:rPr>
          <w:rStyle w:val="apple-converted-space"/>
          <w:rFonts w:ascii="Verdana" w:hAnsi="Verdana"/>
          <w:color w:val="000000"/>
          <w:sz w:val="18"/>
          <w:szCs w:val="18"/>
        </w:rPr>
        <w:t> </w:t>
      </w:r>
      <w:r>
        <w:rPr>
          <w:rStyle w:val="afe"/>
          <w:rFonts w:ascii="Verdana" w:hAnsi="Verdana"/>
          <w:color w:val="000000"/>
          <w:sz w:val="18"/>
          <w:szCs w:val="18"/>
        </w:rPr>
        <w:t>Волобуева А. Н.</w:t>
      </w:r>
      <w:r>
        <w:rPr>
          <w:rFonts w:ascii="Verdana" w:hAnsi="Verdana"/>
          <w:color w:val="000000"/>
          <w:sz w:val="18"/>
          <w:szCs w:val="18"/>
        </w:rPr>
        <w:t>Конституционно-правовые основы организации и деятельности политических партий в Российской Федерации: дисс. …канд.юрид.наук: 12.00.02. Саратов, 2005.</w:t>
      </w:r>
    </w:p>
    <w:p w14:paraId="28B6A152"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 граждан и прав политических организаций в рамках избирательного</w:t>
      </w:r>
      <w:r>
        <w:rPr>
          <w:rFonts w:ascii="Verdana" w:hAnsi="Verdana"/>
          <w:color w:val="000000"/>
          <w:sz w:val="18"/>
          <w:szCs w:val="18"/>
        </w:rPr>
        <w:br/>
        <w:t>процесса и за его пределами негативным образом сказываются непосредственно</w:t>
      </w:r>
      <w:r>
        <w:rPr>
          <w:rFonts w:ascii="Verdana" w:hAnsi="Verdana"/>
          <w:color w:val="000000"/>
          <w:sz w:val="18"/>
          <w:szCs w:val="18"/>
        </w:rPr>
        <w:br/>
        <w:t>на качестве и составе органов государственной власти и местного</w:t>
      </w:r>
      <w:r>
        <w:rPr>
          <w:rFonts w:ascii="Verdana" w:hAnsi="Verdana"/>
          <w:color w:val="000000"/>
          <w:sz w:val="18"/>
          <w:szCs w:val="18"/>
        </w:rPr>
        <w:br/>
        <w:t>самоуправления. Именно это факт и свидетельствует об актуальности</w:t>
      </w:r>
    </w:p>
    <w:p w14:paraId="0157832F"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настоящего диссертационного исследования.</w:t>
      </w:r>
    </w:p>
    <w:p w14:paraId="155064FD"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Вышеозначенные обстоятельства обуславливают необходимость</w:t>
      </w:r>
    </w:p>
    <w:p w14:paraId="483EF941"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комплексного изучения конституционно-правовых споров с участием политических партий, разработки их классификации, разработки механизма их предупреждения и разрешения.</w:t>
      </w:r>
    </w:p>
    <w:p w14:paraId="32ED128F" w14:textId="77777777" w:rsidR="00943C22" w:rsidRDefault="00943C22" w:rsidP="00943C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 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Изучение политических партий, их правового статуса, основных принципов создания, порядка регистрации и ликвидации, участия в избирательном процессе нашло широкое отражение в трудах таких авторов, как: С. А. Авакьян, Ю. А. Юдин, С. Е. Заславский, А. Н. Волобуева, Е. П. Дубровина, М. Л. Луговская, Г. Н. Митин, Н. Н. Неровная, В. Е. Чиркин, А. А. Алиев, Т.Б. Бекназар-Юзбашев, Ю.Г. Кургунюк, А. В. Кынев, К. А. Кононов, В. Я. Гельман, А. Е. Любарев и др. Свое мнение и рассуждения о роли политических партий в общественно-политической системе в аспекте экономики и политики высказывали и Ф. фон Хайек, М. Дюверже, А. Шайо, Т. Ремингтон и др.</w:t>
      </w:r>
    </w:p>
    <w:p w14:paraId="4BEDD54F"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Диссертантом привлекалась литература по проблемам споров, обращений в суды и избирательные комиссии. В основу рассмотрения понятия «конституционно-правовой спор» положены научные исследования Ю. А. Тихомирова, Е. К. Замотаевой, О. В. Брежнева, А. А. Езерова. В целях разграничения понятия «конституционно-правовой спор» со смежными категориями (конфликт, коллизия, ответственность) проанализированы работы Ю. А. Тихомирова, Д. Т. Шона, М. В. Баглая, В. А. Виноградова, В. Н. Горькова, В. Н. Бровченко. Также диссертант обратился к научным работам по конфликтологии, в том числе политической конфликтологии, таких авторов как Т. М. Пряхина, А. Н. Фролова, А. В. Глухова, Д. М. Фельдман.</w:t>
      </w:r>
    </w:p>
    <w:p w14:paraId="7E1D1DF9"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Большой интерес представляют работы, посвященные неформальному регулированию споров с участием политических партий: Э. Л. Панеях, В. Меркель, А. Круассан, М. В. Подхомутниковой, С. В. Васильевой, И. Большакова. Были изучены работы, посвященные изучению политической медиации: Бесемера Христофа, Махтельд Пель, Н. Г. Пономаревой и других.</w:t>
      </w:r>
    </w:p>
    <w:p w14:paraId="3E13D756"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выводов исследования сформулирован на основе работ по саморегулированию общественных отношений М. А. Федотова, А. Б. Венгерова, А. В. Моргун.</w:t>
      </w:r>
    </w:p>
    <w:p w14:paraId="1A38DE14" w14:textId="77777777" w:rsidR="00943C22" w:rsidRDefault="00943C22" w:rsidP="00943C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складывающиеся в процессе разрешения конституционно-правовых споров в процессе создания и деятельности политических партий.</w:t>
      </w:r>
    </w:p>
    <w:p w14:paraId="12AC64F5" w14:textId="77777777" w:rsidR="00943C22" w:rsidRDefault="00943C22" w:rsidP="00943C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 составляют</w:t>
      </w:r>
      <w:r>
        <w:rPr>
          <w:rStyle w:val="apple-converted-space"/>
          <w:rFonts w:ascii="Verdana" w:hAnsi="Verdana"/>
          <w:color w:val="000000"/>
          <w:sz w:val="18"/>
          <w:szCs w:val="18"/>
        </w:rPr>
        <w:t> </w:t>
      </w:r>
      <w:r>
        <w:rPr>
          <w:rFonts w:ascii="Verdana" w:hAnsi="Verdana"/>
          <w:color w:val="000000"/>
          <w:sz w:val="18"/>
          <w:szCs w:val="18"/>
        </w:rPr>
        <w:t>научные представления о правовой природе конституционно-правовых споров; конституционно-правовые нормы, регулирующие порядок разрешения конституционно-правовых споров в процессе создания и деятельности политических партий; практическая реализация названных норм; а также представленные в научной литературе конституционно-правовые проблемы, затрагивающие исследуемую тему.</w:t>
      </w:r>
    </w:p>
    <w:p w14:paraId="7AA9CD9D" w14:textId="77777777" w:rsidR="00943C22" w:rsidRDefault="00943C22" w:rsidP="00943C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Основная цель диссертации – комплексное изучение конституционно-правовых споров в процессе создания и деятельности политических партий, установление правового содержания этих споров и правовой природы, выявление проблем, возникающих при предотвращении и разрешении споров.</w:t>
      </w:r>
    </w:p>
    <w:p w14:paraId="5F41EC3B"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этой цели были поставлены следующие задачи:</w:t>
      </w:r>
    </w:p>
    <w:p w14:paraId="7F10785C"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разработка понятия «конституционно-правовой спор», понимание его</w:t>
      </w:r>
      <w:r>
        <w:rPr>
          <w:rFonts w:ascii="Verdana" w:hAnsi="Verdana"/>
          <w:color w:val="000000"/>
          <w:sz w:val="18"/>
          <w:szCs w:val="18"/>
        </w:rPr>
        <w:br/>
        <w:t>соотношения с иными правовыми категориями: коллизия, конфликт, претензия,</w:t>
      </w:r>
      <w:r>
        <w:rPr>
          <w:rFonts w:ascii="Verdana" w:hAnsi="Verdana"/>
          <w:color w:val="000000"/>
          <w:sz w:val="18"/>
          <w:szCs w:val="18"/>
        </w:rPr>
        <w:br/>
        <w:t>противоречие, ответственность;</w:t>
      </w:r>
    </w:p>
    <w:p w14:paraId="35E654F6"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 выделение критериев отнесения споров с участием политических</w:t>
      </w:r>
      <w:r>
        <w:rPr>
          <w:rFonts w:ascii="Verdana" w:hAnsi="Verdana"/>
          <w:color w:val="000000"/>
          <w:sz w:val="18"/>
          <w:szCs w:val="18"/>
        </w:rPr>
        <w:br/>
        <w:t>партий к конституционно-правовым спорам;</w:t>
      </w:r>
    </w:p>
    <w:p w14:paraId="60563ECD"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исследование природы, причин возникновения конституционно-</w:t>
      </w:r>
      <w:r>
        <w:rPr>
          <w:rFonts w:ascii="Verdana" w:hAnsi="Verdana"/>
          <w:color w:val="000000"/>
          <w:sz w:val="18"/>
          <w:szCs w:val="18"/>
        </w:rPr>
        <w:br/>
        <w:t>правовых споров в процессе создания и деятельности политических партий;</w:t>
      </w:r>
    </w:p>
    <w:p w14:paraId="67B42BB7"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изучение основных видов конституционно-правовых споров в процессе</w:t>
      </w:r>
      <w:r>
        <w:rPr>
          <w:rFonts w:ascii="Verdana" w:hAnsi="Verdana"/>
          <w:color w:val="000000"/>
          <w:sz w:val="18"/>
          <w:szCs w:val="18"/>
        </w:rPr>
        <w:br/>
        <w:t>создания и деятельности политических партий;</w:t>
      </w:r>
    </w:p>
    <w:p w14:paraId="05FE053E"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изучение различных механизмов разрешения споров: судебных,</w:t>
      </w:r>
      <w:r>
        <w:rPr>
          <w:rFonts w:ascii="Verdana" w:hAnsi="Verdana"/>
          <w:color w:val="000000"/>
          <w:sz w:val="18"/>
          <w:szCs w:val="18"/>
        </w:rPr>
        <w:br/>
        <w:t>административных, альтернативных;</w:t>
      </w:r>
    </w:p>
    <w:p w14:paraId="7D1BD55D"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возможных противоречий действующего законодательства о политических партиях и выборах и сложившейся практики его применения, а также путей преодоления проблем;</w:t>
      </w:r>
    </w:p>
    <w:p w14:paraId="2FD559AE"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обобщение и изучение судебной практики защиты права граждан на объединение в политические партии, участия политических партий в избирательном процессе в судебных инстанциях различного уровня;</w:t>
      </w:r>
    </w:p>
    <w:p w14:paraId="26DE3CA8"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 выработка рекомендаций по дальнейшему совершенствованию</w:t>
      </w:r>
      <w:r>
        <w:rPr>
          <w:rFonts w:ascii="Verdana" w:hAnsi="Verdana"/>
          <w:color w:val="000000"/>
          <w:sz w:val="18"/>
          <w:szCs w:val="18"/>
        </w:rPr>
        <w:br/>
        <w:t>механизмов разрешения споров с участием политических партий.</w:t>
      </w:r>
    </w:p>
    <w:p w14:paraId="36C9C7B5" w14:textId="77777777" w:rsidR="00943C22" w:rsidRDefault="00943C22" w:rsidP="00943C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w:t>
      </w:r>
      <w:r>
        <w:rPr>
          <w:rStyle w:val="apple-converted-space"/>
          <w:rFonts w:ascii="Verdana" w:hAnsi="Verdana"/>
          <w:color w:val="000000"/>
          <w:sz w:val="18"/>
          <w:szCs w:val="18"/>
        </w:rPr>
        <w:t> </w:t>
      </w:r>
      <w:r>
        <w:rPr>
          <w:rStyle w:val="af2"/>
          <w:rFonts w:ascii="Verdana" w:hAnsi="Verdana"/>
          <w:color w:val="000000"/>
          <w:sz w:val="18"/>
          <w:szCs w:val="18"/>
        </w:rPr>
        <w:t>основа</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При проведении</w:t>
      </w:r>
    </w:p>
    <w:p w14:paraId="75FF39F3"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 применялся комплексный подход, который предполагает одновременное использование ряда методов.</w:t>
      </w:r>
    </w:p>
    <w:p w14:paraId="5B5F1F41"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Были использованы следующие общенаучные методы: формально</w:t>
      </w:r>
      <w:r>
        <w:rPr>
          <w:rFonts w:ascii="Verdana" w:hAnsi="Verdana"/>
          <w:color w:val="000000"/>
          <w:sz w:val="18"/>
          <w:szCs w:val="18"/>
        </w:rPr>
        <w:br/>
        <w:t>логический, сравнительный, междисциплинарный, моделирования. Применение</w:t>
      </w:r>
      <w:r>
        <w:rPr>
          <w:rFonts w:ascii="Verdana" w:hAnsi="Verdana"/>
          <w:color w:val="000000"/>
          <w:sz w:val="18"/>
          <w:szCs w:val="18"/>
        </w:rPr>
        <w:br/>
        <w:t>формально-логического метода и иных методов этой группы позволило описать</w:t>
      </w:r>
      <w:r>
        <w:rPr>
          <w:rFonts w:ascii="Verdana" w:hAnsi="Verdana"/>
          <w:color w:val="000000"/>
          <w:sz w:val="18"/>
          <w:szCs w:val="18"/>
        </w:rPr>
        <w:br/>
        <w:t>понятие конституционно-правовых споров, выявить правовую природу и</w:t>
      </w:r>
      <w:r>
        <w:rPr>
          <w:rFonts w:ascii="Verdana" w:hAnsi="Verdana"/>
          <w:color w:val="000000"/>
          <w:sz w:val="18"/>
          <w:szCs w:val="18"/>
        </w:rPr>
        <w:br/>
        <w:t>сущностные признаки конституционно-правовых споров, провести</w:t>
      </w:r>
    </w:p>
    <w:p w14:paraId="6B3EE3BE"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классификацию конституционно-правовых споров в процессе создания и деятельности политических споров. Междисциплинарный метод и метод моделирования позволили использовать знания о природе споров в сферах экономики, психологии, политологии (например, процедура медиации, неформальная сторона конфликта) в описании конституционно-правовых споров с участием политических партий применительно к предмету диссертации.</w:t>
      </w:r>
    </w:p>
    <w:p w14:paraId="66B3D5C6"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использовались частнонаучные методы: формально-юридический, сравнительно-правовой. Эти методы были использованы для анализа норм права, регулирующих различные аспекты деятельности</w:t>
      </w:r>
    </w:p>
    <w:p w14:paraId="1C1D008C"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политических партий, а также для анализа и обобщения юридической практики. Сравнительно-правовой метод позволил показать сходства и различия институтов в России и зарубежных странах, в частности, с его помощью был выявлен механизм саморегулирования в деятельности политических партий, предусмотренный в ряде государств.</w:t>
      </w:r>
    </w:p>
    <w:p w14:paraId="1FAAB8C1" w14:textId="77777777" w:rsidR="00943C22" w:rsidRDefault="00943C22" w:rsidP="00943C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Нормативно-правовая</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эмпирическая</w:t>
      </w:r>
      <w:r>
        <w:rPr>
          <w:rStyle w:val="apple-converted-space"/>
          <w:rFonts w:ascii="Verdana" w:hAnsi="Verdana"/>
          <w:color w:val="000000"/>
          <w:sz w:val="18"/>
          <w:szCs w:val="18"/>
        </w:rPr>
        <w:t> </w:t>
      </w:r>
      <w:r>
        <w:rPr>
          <w:rStyle w:val="af2"/>
          <w:rFonts w:ascii="Verdana" w:hAnsi="Verdana"/>
          <w:color w:val="000000"/>
          <w:sz w:val="18"/>
          <w:szCs w:val="18"/>
        </w:rPr>
        <w:t>база</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737E78EF"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Нормативно-правовую и эмпирическую основу исследования составили</w:t>
      </w:r>
      <w:r>
        <w:rPr>
          <w:rFonts w:ascii="Verdana" w:hAnsi="Verdana"/>
          <w:color w:val="000000"/>
          <w:sz w:val="18"/>
          <w:szCs w:val="18"/>
        </w:rPr>
        <w:br/>
        <w:t>Конституция Российской Федерации, федеральные законы, послания</w:t>
      </w:r>
      <w:r>
        <w:rPr>
          <w:rFonts w:ascii="Verdana" w:hAnsi="Verdana"/>
          <w:color w:val="000000"/>
          <w:sz w:val="18"/>
          <w:szCs w:val="18"/>
        </w:rPr>
        <w:br/>
        <w:t>Президента Российской Федерации Федеральному Собранию Российской</w:t>
      </w:r>
      <w:r>
        <w:rPr>
          <w:rFonts w:ascii="Verdana" w:hAnsi="Verdana"/>
          <w:color w:val="000000"/>
          <w:sz w:val="18"/>
          <w:szCs w:val="18"/>
        </w:rPr>
        <w:br/>
        <w:t>Федерации, акты Совета Европы, решения Конституционного Суда Российской</w:t>
      </w:r>
      <w:r>
        <w:rPr>
          <w:rFonts w:ascii="Verdana" w:hAnsi="Verdana"/>
          <w:color w:val="000000"/>
          <w:sz w:val="18"/>
          <w:szCs w:val="18"/>
        </w:rPr>
        <w:br/>
        <w:t>Федерации, Европейского Суда по правам человека, Верховного Суда</w:t>
      </w:r>
      <w:r>
        <w:rPr>
          <w:rFonts w:ascii="Verdana" w:hAnsi="Verdana"/>
          <w:color w:val="000000"/>
          <w:sz w:val="18"/>
          <w:szCs w:val="18"/>
        </w:rPr>
        <w:br/>
        <w:t>Российской Федерации и судов общей юрисдикции, акты и решения</w:t>
      </w:r>
      <w:r>
        <w:rPr>
          <w:rFonts w:ascii="Verdana" w:hAnsi="Verdana"/>
          <w:color w:val="000000"/>
          <w:sz w:val="18"/>
          <w:szCs w:val="18"/>
        </w:rPr>
        <w:br/>
        <w:t>Центральной избирательной комиссии Российской Федерации и нижестоящих</w:t>
      </w:r>
      <w:r>
        <w:rPr>
          <w:rFonts w:ascii="Verdana" w:hAnsi="Verdana"/>
          <w:color w:val="000000"/>
          <w:sz w:val="18"/>
          <w:szCs w:val="18"/>
        </w:rPr>
        <w:br/>
        <w:t>избирательных комиссий, аналитические материалы некоммерческих</w:t>
      </w:r>
    </w:p>
    <w:p w14:paraId="55F26B33"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организаций (Ассоциации некоммерческих организаций «В защиту прав</w:t>
      </w:r>
      <w:r>
        <w:rPr>
          <w:rFonts w:ascii="Verdana" w:hAnsi="Verdana"/>
          <w:color w:val="000000"/>
          <w:sz w:val="18"/>
          <w:szCs w:val="18"/>
        </w:rPr>
        <w:br/>
        <w:t>избирателей «Голос», Комитета гражданских инициатив). Также были</w:t>
      </w:r>
      <w:r>
        <w:rPr>
          <w:rFonts w:ascii="Verdana" w:hAnsi="Verdana"/>
          <w:color w:val="000000"/>
          <w:sz w:val="18"/>
          <w:szCs w:val="18"/>
        </w:rPr>
        <w:br/>
        <w:t>проведены консультации со специалистами Центральной избирательной</w:t>
      </w:r>
      <w:r>
        <w:rPr>
          <w:rFonts w:ascii="Verdana" w:hAnsi="Verdana"/>
          <w:color w:val="000000"/>
          <w:sz w:val="18"/>
          <w:szCs w:val="18"/>
        </w:rPr>
        <w:br/>
        <w:t>комиссии РФ, Московской городской избирательной комиссии, Центральной</w:t>
      </w:r>
      <w:r>
        <w:rPr>
          <w:rFonts w:ascii="Verdana" w:hAnsi="Verdana"/>
          <w:color w:val="000000"/>
          <w:sz w:val="18"/>
          <w:szCs w:val="18"/>
        </w:rPr>
        <w:br/>
        <w:t>избирательной комиссии Республики Башкортостан, представителями</w:t>
      </w:r>
    </w:p>
    <w:p w14:paraId="50075F77"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политической партии «ЯБЛОКО».</w:t>
      </w:r>
    </w:p>
    <w:p w14:paraId="45E62D33" w14:textId="77777777" w:rsidR="00943C22" w:rsidRDefault="00943C22" w:rsidP="00943C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впервые проводится комплексное исследование понятия и природы конституционно-правовых споров применительно к сфере создания и деятельности политических партий, а не только в связи с организацией и проведением выборов. На основе выделения различных критериев впервые дается классификация конституционно-правовых споров, которая позволила лучше понять их природу и масштаб. На основе опыта регулирования деятельности политических партий в зарубежных странах и с учетом механизма разрешения споров в смежных отраслях права (административном, гражданском и других) предлагается рассмотреть возможность разрешения</w:t>
      </w:r>
    </w:p>
    <w:p w14:paraId="2A60D69E"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конституционно-правовых споров с участием политических партий с</w:t>
      </w:r>
      <w:r>
        <w:rPr>
          <w:rFonts w:ascii="Verdana" w:hAnsi="Verdana"/>
          <w:color w:val="000000"/>
          <w:sz w:val="18"/>
          <w:szCs w:val="18"/>
        </w:rPr>
        <w:br/>
        <w:t>использованием несудебных, неформальных процедур: медиации,</w:t>
      </w:r>
    </w:p>
    <w:p w14:paraId="6016441D"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саморегулирования и др.</w:t>
      </w:r>
    </w:p>
    <w:p w14:paraId="513FE8C5" w14:textId="77777777" w:rsidR="00943C22" w:rsidRDefault="00943C22" w:rsidP="00943C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В результате проведенного исследования на защиту выносятся следующие положения:</w:t>
      </w:r>
    </w:p>
    <w:p w14:paraId="1BD1BE69" w14:textId="77777777" w:rsidR="00943C22" w:rsidRDefault="00943C22" w:rsidP="00776C50">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 числу основных причин возникновения конституционно-правовых споров в процессе создания и деятельности политических партий относятся: несовершенство норм права, регулирующих организацию и деятельность политических партий, организацию избирательного процесса, избирательное правоприменение со стороны государственных органов, выражающееся в предъявлении необоснованных требований и произвольном толковании норм права, а также недобросовестное поведение субъектов общественно-политической системы. Большую роль в возникновении конституционно-правовых споров имеет степень правовой культуры субъектов конституционно-правовых отношений.</w:t>
      </w:r>
    </w:p>
    <w:p w14:paraId="58828AC0" w14:textId="77777777" w:rsidR="00943C22" w:rsidRDefault="00943C22" w:rsidP="00776C50">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Классификация конституционно-правовых споров в процессе создания и деятельности политических партий возможна по нескольким основаниям. В зависимости от предмета спора выделяются конституционно-правовые споры в сферах регистрации политических партий, приостановления и прекращения их деятельности, конституционно-правовые споры в сфере участия политических партий в избирательном процессе, конституционно-правовые споры в сфере иных вопросов партийного строительства.</w:t>
      </w:r>
    </w:p>
    <w:p w14:paraId="2311C1F7"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По качественному составу субъектов конституционно-правовые споры в процессе создания и деятельности политических партий подразделяются на споры между политическим партиями и гражданином (в том числе являющимся членом политической партии), споры между политическими партиями и государственными органами, споры между политическими партиями, споры между политическими партиями и иными общественными объединениями, споры между политическими партиями и средствами массовой информации.</w:t>
      </w:r>
    </w:p>
    <w:p w14:paraId="7B4AEEE1"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количественному составу субъектов конституционно-правовые споры в процессе создания и деятельности политических партий подразделяются на двухсторонние и многосторонние споры.</w:t>
      </w:r>
    </w:p>
    <w:p w14:paraId="04BB18E4"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зависимости от того, урегулирован порядок разрешения споров или нет, конституционно-правовые споры в процессе создания и деятельности политических партий подразделяются на урегулированные правом и неурегулированные, неформальные по порядку рассмотрения спора.</w:t>
      </w:r>
    </w:p>
    <w:p w14:paraId="18B68CB7"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3. Конституционно-правовой спор представляет собой разногласие,</w:t>
      </w:r>
      <w:r>
        <w:rPr>
          <w:rFonts w:ascii="Verdana" w:hAnsi="Verdana"/>
          <w:color w:val="000000"/>
          <w:sz w:val="18"/>
          <w:szCs w:val="18"/>
        </w:rPr>
        <w:br/>
        <w:t>возникающее между субъектами конституционно-правовых отношений в</w:t>
      </w:r>
      <w:r>
        <w:rPr>
          <w:rFonts w:ascii="Verdana" w:hAnsi="Verdana"/>
          <w:color w:val="000000"/>
          <w:sz w:val="18"/>
          <w:szCs w:val="18"/>
        </w:rPr>
        <w:br/>
        <w:t>процессе осуществления, исполнения или нарушения ими правовых норм и</w:t>
      </w:r>
      <w:r>
        <w:rPr>
          <w:rFonts w:ascii="Verdana" w:hAnsi="Verdana"/>
          <w:color w:val="000000"/>
          <w:sz w:val="18"/>
          <w:szCs w:val="18"/>
        </w:rPr>
        <w:br/>
        <w:t>разрешаемые в судебном порядке: в рамках конституционного,</w:t>
      </w:r>
      <w:r>
        <w:rPr>
          <w:rFonts w:ascii="Verdana" w:hAnsi="Verdana"/>
          <w:color w:val="000000"/>
          <w:sz w:val="18"/>
          <w:szCs w:val="18"/>
        </w:rPr>
        <w:br/>
        <w:t>административного судопроизводств, а также в административном порядке, и в</w:t>
      </w:r>
      <w:r>
        <w:rPr>
          <w:rFonts w:ascii="Verdana" w:hAnsi="Verdana"/>
          <w:color w:val="000000"/>
          <w:sz w:val="18"/>
          <w:szCs w:val="18"/>
        </w:rPr>
        <w:br/>
        <w:t>неурегулированном правом, неформальном, порядке. Предметом</w:t>
      </w:r>
      <w:r>
        <w:rPr>
          <w:rFonts w:ascii="Verdana" w:hAnsi="Verdana"/>
          <w:color w:val="000000"/>
          <w:sz w:val="18"/>
          <w:szCs w:val="18"/>
        </w:rPr>
        <w:br/>
        <w:t>конституционно-правовых споров является нарушение конституционных прав</w:t>
      </w:r>
      <w:r>
        <w:rPr>
          <w:rFonts w:ascii="Verdana" w:hAnsi="Verdana"/>
          <w:color w:val="000000"/>
          <w:sz w:val="18"/>
          <w:szCs w:val="18"/>
        </w:rPr>
        <w:br/>
        <w:t>граждан и иных субъектов общественно-политической системы. Такое</w:t>
      </w:r>
      <w:r>
        <w:rPr>
          <w:rFonts w:ascii="Verdana" w:hAnsi="Verdana"/>
          <w:color w:val="000000"/>
          <w:sz w:val="18"/>
          <w:szCs w:val="18"/>
        </w:rPr>
        <w:br/>
        <w:t>понимание правовой сущности конституционно-правового спора позволяет</w:t>
      </w:r>
      <w:r>
        <w:rPr>
          <w:rFonts w:ascii="Verdana" w:hAnsi="Verdana"/>
          <w:color w:val="000000"/>
          <w:sz w:val="18"/>
          <w:szCs w:val="18"/>
        </w:rPr>
        <w:br/>
        <w:t>определить надлежащий порядок его рассмотрения. В противном случае</w:t>
      </w:r>
      <w:r>
        <w:rPr>
          <w:rFonts w:ascii="Verdana" w:hAnsi="Verdana"/>
          <w:color w:val="000000"/>
          <w:sz w:val="18"/>
          <w:szCs w:val="18"/>
        </w:rPr>
        <w:br/>
        <w:t>конституционно-правовой спор может быть рассмотрен в порядке, в котором не</w:t>
      </w:r>
      <w:r>
        <w:rPr>
          <w:rFonts w:ascii="Verdana" w:hAnsi="Verdana"/>
          <w:color w:val="000000"/>
          <w:sz w:val="18"/>
          <w:szCs w:val="18"/>
        </w:rPr>
        <w:br/>
        <w:t>будет достигнута основная цель его разрешения – восстановление нарушенных</w:t>
      </w:r>
      <w:r>
        <w:rPr>
          <w:rFonts w:ascii="Verdana" w:hAnsi="Verdana"/>
          <w:color w:val="000000"/>
          <w:sz w:val="18"/>
          <w:szCs w:val="18"/>
        </w:rPr>
        <w:br/>
        <w:t>прав избирателей.</w:t>
      </w:r>
    </w:p>
    <w:p w14:paraId="2E411090" w14:textId="77777777" w:rsidR="00943C22" w:rsidRDefault="00943C22" w:rsidP="00776C50">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Кодексе административного судопроизводства РФ избиратели не наделяются правом оспаривать действия политических партий. Данный пробел практически делает невозможным разрешение споров между гражданами и политическими партиями в порядке административного судопроизводства, например, это дела в связи с отказом включить гражданина в список кандидатов от политической партии, в связи с отзывом политической партией своего кандидата на выборах, в связи с нарушением политической партией правил предвыборной агитации и иные.</w:t>
      </w:r>
    </w:p>
    <w:p w14:paraId="1125341D" w14:textId="77777777" w:rsidR="00943C22" w:rsidRDefault="00943C22" w:rsidP="00776C50">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целях рассмотрения споров в сфере деятельности политических партий, которые не находят своего разрешения в судебном и административном</w:t>
      </w:r>
    </w:p>
    <w:p w14:paraId="5B4D012B"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порядке, предлагается создать Комиссию по политической конкуренции (по аналогии с действовавшим ранее Третейским информационным судом). Члены Комиссии могли бы назначаться Центральной избирательной комиссией РФ по предложению зарегистрированных политических партий, научных и образовательных учреждений, а также объединений СМИ. В компетенцию Комиссии по политической конкуренции следовало бы включить следующие полномочия: разрешение споров между гражданином и политической партией, например, это дела в связи с отказом в приеме в члены политической партии, в связи с отказом включить гражданина в список кандидатов от политической партии, в связи с отзывом политической партией своего кандидата на выборах, в связи с нарушением политической партией правил предвыборной агитации и иные; разрешение споров между членом партии и политической партией, например, в связи с распределением депутатских мандатов, в связи с исключением члена партии из политической партии; разрешение споров между политическими партиями, например в связи с нарушением заключенных между ними соглашений; выявление и пресечение недобросовестной политической </w:t>
      </w:r>
      <w:r>
        <w:rPr>
          <w:rFonts w:ascii="Verdana" w:hAnsi="Verdana"/>
          <w:color w:val="000000"/>
          <w:sz w:val="18"/>
          <w:szCs w:val="18"/>
        </w:rPr>
        <w:lastRenderedPageBreak/>
        <w:t>конкуренции со стороны политических партий, в том числе тех партий, основной целью которых является «оттягивание» голосов партий-конкурентов (т.н. партии-спойлеры).</w:t>
      </w:r>
    </w:p>
    <w:p w14:paraId="3432B726"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6. Действующий в настоящее время порядок регистрации политических</w:t>
      </w:r>
      <w:r>
        <w:rPr>
          <w:rFonts w:ascii="Verdana" w:hAnsi="Verdana"/>
          <w:color w:val="000000"/>
          <w:sz w:val="18"/>
          <w:szCs w:val="18"/>
        </w:rPr>
        <w:br/>
        <w:t>партий открывает широкое поле для произвольного правоприменения со</w:t>
      </w:r>
      <w:r>
        <w:rPr>
          <w:rFonts w:ascii="Verdana" w:hAnsi="Verdana"/>
          <w:color w:val="000000"/>
          <w:sz w:val="18"/>
          <w:szCs w:val="18"/>
        </w:rPr>
        <w:br/>
        <w:t>стороны регистрирующих органов. Представляется необоснованным</w:t>
      </w:r>
    </w:p>
    <w:p w14:paraId="18A8EF32"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требование государственной регистрации региональных отделений не менее</w:t>
      </w:r>
      <w:r>
        <w:rPr>
          <w:rFonts w:ascii="Verdana" w:hAnsi="Verdana"/>
          <w:color w:val="000000"/>
          <w:sz w:val="18"/>
          <w:szCs w:val="18"/>
        </w:rPr>
        <w:br/>
        <w:t>чем в половине субъектов РФ в течение 6 месяцев со дня государственной</w:t>
      </w:r>
      <w:r>
        <w:rPr>
          <w:rFonts w:ascii="Verdana" w:hAnsi="Verdana"/>
          <w:color w:val="000000"/>
          <w:sz w:val="18"/>
          <w:szCs w:val="18"/>
        </w:rPr>
        <w:br/>
        <w:t>регистрации политической партии. Достаточным, с точки зрения диссертанта,</w:t>
      </w:r>
      <w:r>
        <w:rPr>
          <w:rFonts w:ascii="Verdana" w:hAnsi="Verdana"/>
          <w:color w:val="000000"/>
          <w:sz w:val="18"/>
          <w:szCs w:val="18"/>
        </w:rPr>
        <w:br/>
        <w:t>при регистрации политической партии будет предоставление в</w:t>
      </w:r>
    </w:p>
    <w:p w14:paraId="23ED0218"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регистрирующий орган документов о создании региональных отделений политической партии в форме структурных подразделений, а также протоколов общих собраний и конференций региональных отделений.</w:t>
      </w:r>
    </w:p>
    <w:p w14:paraId="56761DA5"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7. Правоприменительная практика показала, что основная доля отказов в</w:t>
      </w:r>
      <w:r>
        <w:rPr>
          <w:rFonts w:ascii="Verdana" w:hAnsi="Verdana"/>
          <w:color w:val="000000"/>
          <w:sz w:val="18"/>
          <w:szCs w:val="18"/>
        </w:rPr>
        <w:br/>
        <w:t>регистрации кандидатов и списков кандидатов от политических партий на</w:t>
      </w:r>
      <w:r>
        <w:rPr>
          <w:rFonts w:ascii="Verdana" w:hAnsi="Verdana"/>
          <w:color w:val="000000"/>
          <w:sz w:val="18"/>
          <w:szCs w:val="18"/>
        </w:rPr>
        <w:br/>
        <w:t>выборах связана с требованием сбора подписей избирателей. В указанных</w:t>
      </w:r>
      <w:r>
        <w:rPr>
          <w:rFonts w:ascii="Verdana" w:hAnsi="Verdana"/>
          <w:color w:val="000000"/>
          <w:sz w:val="18"/>
          <w:szCs w:val="18"/>
        </w:rPr>
        <w:br/>
        <w:t>правоотношениях наиболее сильно проявляется административное усмотрение</w:t>
      </w:r>
      <w:r>
        <w:rPr>
          <w:rFonts w:ascii="Verdana" w:hAnsi="Verdana"/>
          <w:color w:val="000000"/>
          <w:sz w:val="18"/>
          <w:szCs w:val="18"/>
        </w:rPr>
        <w:br/>
        <w:t>со стороны избирательных комиссий. Данное обстоятельство является</w:t>
      </w:r>
      <w:r>
        <w:rPr>
          <w:rFonts w:ascii="Verdana" w:hAnsi="Verdana"/>
          <w:color w:val="000000"/>
          <w:sz w:val="18"/>
          <w:szCs w:val="18"/>
        </w:rPr>
        <w:br/>
        <w:t>препятствием к доступу политических партий на выборы и может привести к</w:t>
      </w:r>
      <w:r>
        <w:rPr>
          <w:rFonts w:ascii="Verdana" w:hAnsi="Verdana"/>
          <w:color w:val="000000"/>
          <w:sz w:val="18"/>
          <w:szCs w:val="18"/>
        </w:rPr>
        <w:br/>
        <w:t>дисбалансу в политической системе, доминированию одной политической</w:t>
      </w:r>
      <w:r>
        <w:rPr>
          <w:rFonts w:ascii="Verdana" w:hAnsi="Verdana"/>
          <w:color w:val="000000"/>
          <w:sz w:val="18"/>
          <w:szCs w:val="18"/>
        </w:rPr>
        <w:br/>
        <w:t>партии. В связи с этим актуальным представляется возврат института</w:t>
      </w:r>
      <w:r>
        <w:rPr>
          <w:rFonts w:ascii="Verdana" w:hAnsi="Verdana"/>
          <w:color w:val="000000"/>
          <w:sz w:val="18"/>
          <w:szCs w:val="18"/>
        </w:rPr>
        <w:br/>
        <w:t>избирательного залога в качестве альтернативы сбору подписей избирателей.</w:t>
      </w:r>
    </w:p>
    <w:p w14:paraId="0C5C355C"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8. В нормативных правовых актах необходимо определить порядок</w:t>
      </w:r>
      <w:r>
        <w:rPr>
          <w:rFonts w:ascii="Verdana" w:hAnsi="Verdana"/>
          <w:color w:val="000000"/>
          <w:sz w:val="18"/>
          <w:szCs w:val="18"/>
        </w:rPr>
        <w:br/>
        <w:t>разрешения споров, возникающих в связи с нарушением гарантий равного</w:t>
      </w:r>
      <w:r>
        <w:rPr>
          <w:rFonts w:ascii="Verdana" w:hAnsi="Verdana"/>
          <w:color w:val="000000"/>
          <w:sz w:val="18"/>
          <w:szCs w:val="18"/>
        </w:rPr>
        <w:br/>
        <w:t>доступа парламентских партий к СМИ. В Федеральном законе «О гарантиях</w:t>
      </w:r>
      <w:r>
        <w:rPr>
          <w:rFonts w:ascii="Verdana" w:hAnsi="Verdana"/>
          <w:color w:val="000000"/>
          <w:sz w:val="18"/>
          <w:szCs w:val="18"/>
        </w:rPr>
        <w:br/>
        <w:t>равенства парламентских партий при освещении их деятельности</w:t>
      </w:r>
      <w:r>
        <w:rPr>
          <w:rFonts w:ascii="Verdana" w:hAnsi="Verdana"/>
          <w:color w:val="000000"/>
          <w:sz w:val="18"/>
          <w:szCs w:val="18"/>
        </w:rPr>
        <w:br/>
        <w:t>государственными общедоступными телеканалами и радиоканалами»</w:t>
      </w:r>
      <w:r>
        <w:rPr>
          <w:rFonts w:ascii="Verdana" w:hAnsi="Verdana"/>
          <w:color w:val="000000"/>
          <w:sz w:val="18"/>
          <w:szCs w:val="18"/>
        </w:rPr>
        <w:br/>
        <w:t>следовало бы прямо указать на возможность административного порядка</w:t>
      </w:r>
      <w:r>
        <w:rPr>
          <w:rFonts w:ascii="Verdana" w:hAnsi="Verdana"/>
          <w:color w:val="000000"/>
          <w:sz w:val="18"/>
          <w:szCs w:val="18"/>
        </w:rPr>
        <w:br/>
        <w:t>обжалования решения рабочей группы, устанавливающей результаты равного</w:t>
      </w:r>
      <w:r>
        <w:rPr>
          <w:rFonts w:ascii="Verdana" w:hAnsi="Verdana"/>
          <w:color w:val="000000"/>
          <w:sz w:val="18"/>
          <w:szCs w:val="18"/>
        </w:rPr>
        <w:br/>
        <w:t>доступа парламентских партий в саму Центральную избирательную комиссию</w:t>
      </w:r>
      <w:r>
        <w:rPr>
          <w:rFonts w:ascii="Verdana" w:hAnsi="Verdana"/>
          <w:color w:val="000000"/>
          <w:sz w:val="18"/>
          <w:szCs w:val="18"/>
        </w:rPr>
        <w:br/>
        <w:t>РФ. Жалоба парламентской партии при этом должна рассматриваться на</w:t>
      </w:r>
      <w:r>
        <w:rPr>
          <w:rFonts w:ascii="Verdana" w:hAnsi="Verdana"/>
          <w:color w:val="000000"/>
          <w:sz w:val="18"/>
          <w:szCs w:val="18"/>
        </w:rPr>
        <w:br/>
        <w:t>заседании Комиссии с изучением копий графиков теле- и радиоканалов, в</w:t>
      </w:r>
      <w:r>
        <w:rPr>
          <w:rFonts w:ascii="Verdana" w:hAnsi="Verdana"/>
          <w:color w:val="000000"/>
          <w:sz w:val="18"/>
          <w:szCs w:val="18"/>
        </w:rPr>
        <w:br/>
        <w:t>которых указаны даты, время и продолжительность сюжета, посвященного</w:t>
      </w:r>
      <w:r>
        <w:rPr>
          <w:rFonts w:ascii="Verdana" w:hAnsi="Verdana"/>
          <w:color w:val="000000"/>
          <w:sz w:val="18"/>
          <w:szCs w:val="18"/>
        </w:rPr>
        <w:br/>
        <w:t>освещению деятельности политической партии и копий сюжетов на бумажных</w:t>
      </w:r>
      <w:r>
        <w:rPr>
          <w:rFonts w:ascii="Verdana" w:hAnsi="Verdana"/>
          <w:color w:val="000000"/>
          <w:sz w:val="18"/>
          <w:szCs w:val="18"/>
        </w:rPr>
        <w:br/>
        <w:t>и/или электронных носителях, а также их расшифровки. Также должен быть</w:t>
      </w:r>
      <w:r>
        <w:rPr>
          <w:rFonts w:ascii="Verdana" w:hAnsi="Verdana"/>
          <w:color w:val="000000"/>
          <w:sz w:val="18"/>
          <w:szCs w:val="18"/>
        </w:rPr>
        <w:br/>
        <w:t>предусмотрен раздельный учет эфирного времени в зависимости от</w:t>
      </w:r>
      <w:r>
        <w:rPr>
          <w:rFonts w:ascii="Verdana" w:hAnsi="Verdana"/>
          <w:color w:val="000000"/>
          <w:sz w:val="18"/>
          <w:szCs w:val="18"/>
        </w:rPr>
        <w:br/>
        <w:t>телепрограммы (телепередачи) или времени выхода в эфир сюжетов о</w:t>
      </w:r>
      <w:r>
        <w:rPr>
          <w:rFonts w:ascii="Verdana" w:hAnsi="Verdana"/>
          <w:color w:val="000000"/>
          <w:sz w:val="18"/>
          <w:szCs w:val="18"/>
        </w:rPr>
        <w:br/>
        <w:t>деятельности парламентских партий.</w:t>
      </w:r>
    </w:p>
    <w:p w14:paraId="4877CBE9"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9. В целях эффективного разрешения конституционно-правовых споров в</w:t>
      </w:r>
      <w:r>
        <w:rPr>
          <w:rFonts w:ascii="Verdana" w:hAnsi="Verdana"/>
          <w:color w:val="000000"/>
          <w:sz w:val="18"/>
          <w:szCs w:val="18"/>
        </w:rPr>
        <w:br/>
        <w:t>процессе создания и деятельности политических партий необходимо развивать</w:t>
      </w:r>
      <w:r>
        <w:rPr>
          <w:rFonts w:ascii="Verdana" w:hAnsi="Verdana"/>
          <w:color w:val="000000"/>
          <w:sz w:val="18"/>
          <w:szCs w:val="18"/>
        </w:rPr>
        <w:br/>
        <w:t>неформальные по порядку регулирования процедуры, а именно: соглашения,</w:t>
      </w:r>
      <w:r>
        <w:rPr>
          <w:rFonts w:ascii="Verdana" w:hAnsi="Verdana"/>
          <w:color w:val="000000"/>
          <w:sz w:val="18"/>
          <w:szCs w:val="18"/>
        </w:rPr>
        <w:br/>
        <w:t>переговоры (медиация). В сфере разрешения внутрипартийных споров можно</w:t>
      </w:r>
      <w:r>
        <w:rPr>
          <w:rFonts w:ascii="Verdana" w:hAnsi="Verdana"/>
          <w:color w:val="000000"/>
          <w:sz w:val="18"/>
          <w:szCs w:val="18"/>
        </w:rPr>
        <w:br/>
        <w:t>было бы использовать партийный арбитраж, в рамках которого свое</w:t>
      </w:r>
    </w:p>
    <w:p w14:paraId="36D67A0B"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разрешение получали бы споры в связи с отказом в приеме в члены партии, исключением из партии. В сфере разрешения споров, возникающих между политическими партиями, между политическими партиями и иными общественными объединениями стоило бы развивать такую форму разрешения, как заключение политических соглашений как актов разрешения конфликтов. Правовую основу разрешения внутрипартийных и межпартийных споров могли бы составить акты саморегулирования.</w:t>
      </w:r>
    </w:p>
    <w:p w14:paraId="5D14CE03" w14:textId="77777777" w:rsidR="00943C22" w:rsidRDefault="00943C22" w:rsidP="00943C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Достоверность полученных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обеспечивается использованием общенаучных методов исследования, таких, как: формальнологический, сравнительный, междисциплинарный, моделирования, а также частнонаучных методов: формально-юридический, сравнительно-правовой, теоретическим осмыслением содержания использованных литературных источников, анализом норм Конституции, законодательства Российской Федерации и зарубежных стран, решений Европейского Суда по правам человека, Конституционного Суда РФ, Верховного Суда РФ, судов общей юрисдикции, практики избирательных комиссий.</w:t>
      </w:r>
    </w:p>
    <w:p w14:paraId="02303704" w14:textId="77777777" w:rsidR="00943C22" w:rsidRDefault="00943C22" w:rsidP="00943C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практическая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0EBB337A"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Сформулированные в диссертации теоретические выводы обогащают научную</w:t>
      </w:r>
      <w:r>
        <w:rPr>
          <w:rFonts w:ascii="Verdana" w:hAnsi="Verdana"/>
          <w:color w:val="000000"/>
          <w:sz w:val="18"/>
          <w:szCs w:val="18"/>
        </w:rPr>
        <w:br/>
        <w:t>дискуссию по вопросам правового статуса и деятельности политических</w:t>
      </w:r>
      <w:r>
        <w:rPr>
          <w:rFonts w:ascii="Verdana" w:hAnsi="Verdana"/>
          <w:color w:val="000000"/>
          <w:sz w:val="18"/>
          <w:szCs w:val="18"/>
        </w:rPr>
        <w:br/>
        <w:t>партий, организации избирательного процесса, конституционно-правовых</w:t>
      </w:r>
      <w:r>
        <w:rPr>
          <w:rFonts w:ascii="Verdana" w:hAnsi="Verdana"/>
          <w:color w:val="000000"/>
          <w:sz w:val="18"/>
          <w:szCs w:val="18"/>
        </w:rPr>
        <w:br/>
        <w:t>споров, возникающих с участием политических партий, стимулируют</w:t>
      </w:r>
      <w:r>
        <w:rPr>
          <w:rFonts w:ascii="Verdana" w:hAnsi="Verdana"/>
          <w:color w:val="000000"/>
          <w:sz w:val="18"/>
          <w:szCs w:val="18"/>
        </w:rPr>
        <w:br/>
        <w:t>дальнейшие исследования по указанным вопросам. Практическая значимость</w:t>
      </w:r>
      <w:r>
        <w:rPr>
          <w:rFonts w:ascii="Verdana" w:hAnsi="Verdana"/>
          <w:color w:val="000000"/>
          <w:sz w:val="18"/>
          <w:szCs w:val="18"/>
        </w:rPr>
        <w:br/>
        <w:t>исследования заключается в возможности задействования сформулированных в</w:t>
      </w:r>
      <w:r>
        <w:rPr>
          <w:rFonts w:ascii="Verdana" w:hAnsi="Verdana"/>
          <w:color w:val="000000"/>
          <w:sz w:val="18"/>
          <w:szCs w:val="18"/>
        </w:rPr>
        <w:br/>
        <w:t>исследовании рекомендаций при совершенствовании конституционно-</w:t>
      </w:r>
      <w:r>
        <w:rPr>
          <w:rFonts w:ascii="Verdana" w:hAnsi="Verdana"/>
          <w:color w:val="000000"/>
          <w:sz w:val="18"/>
          <w:szCs w:val="18"/>
        </w:rPr>
        <w:br/>
        <w:t>правового регулирования. В частности, в диссертации даны рекомендации по</w:t>
      </w:r>
      <w:r>
        <w:rPr>
          <w:rFonts w:ascii="Verdana" w:hAnsi="Verdana"/>
          <w:color w:val="000000"/>
          <w:sz w:val="18"/>
          <w:szCs w:val="18"/>
        </w:rPr>
        <w:br/>
        <w:t>совершенствованию порядка государственной регистрации политических</w:t>
      </w:r>
      <w:r>
        <w:rPr>
          <w:rFonts w:ascii="Verdana" w:hAnsi="Verdana"/>
          <w:color w:val="000000"/>
          <w:sz w:val="18"/>
          <w:szCs w:val="18"/>
        </w:rPr>
        <w:br/>
        <w:t>партий и их региональных отделений, возврата института избирательного</w:t>
      </w:r>
      <w:r>
        <w:rPr>
          <w:rFonts w:ascii="Verdana" w:hAnsi="Verdana"/>
          <w:color w:val="000000"/>
          <w:sz w:val="18"/>
          <w:szCs w:val="18"/>
        </w:rPr>
        <w:br/>
        <w:t>залога в качестве альтернативы сбору подписей избирателей,</w:t>
      </w:r>
    </w:p>
    <w:p w14:paraId="3EB28A71"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совершенствования порядка разрешения споров, возникающих в связи с нарушением гарантий равного доступа парламентских партий к СМИ.</w:t>
      </w:r>
    </w:p>
    <w:p w14:paraId="6275E797"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исследования можно использовать в правоприменительной практике и при разработке учебно-методических материалов, чтении лекций и проведении семинарских занятий по дисциплинам «Конституционное право Российской Федерации», «Конституционное право зарубежных стран». Положения данной работы могут найти применение также в научно-исследовательской деятельности.</w:t>
      </w:r>
    </w:p>
    <w:p w14:paraId="60428430" w14:textId="77777777" w:rsidR="00943C22" w:rsidRDefault="00943C22" w:rsidP="00943C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диссертации изложены в опубликованных материалах докладов и научных статьях, в том числе в научных журналах, указанных в перечне ведущих рецензируемых научных журналов и изданий, выпускаемых в Российской Федерации.</w:t>
      </w:r>
    </w:p>
    <w:p w14:paraId="72D61AB3"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предложения диссертационного исследования докладывались</w:t>
      </w:r>
      <w:r>
        <w:rPr>
          <w:rFonts w:ascii="Verdana" w:hAnsi="Verdana"/>
          <w:color w:val="000000"/>
          <w:sz w:val="18"/>
          <w:szCs w:val="18"/>
        </w:rPr>
        <w:br/>
        <w:t>на научных и научно-практических конференциях, в частности, на XIX</w:t>
      </w:r>
      <w:r>
        <w:rPr>
          <w:rFonts w:ascii="Verdana" w:hAnsi="Verdana"/>
          <w:color w:val="000000"/>
          <w:sz w:val="18"/>
          <w:szCs w:val="18"/>
        </w:rPr>
        <w:br/>
        <w:t>Международной молодёжной научной конференции студентов, аспирантов и</w:t>
      </w:r>
      <w:r>
        <w:rPr>
          <w:rFonts w:ascii="Verdana" w:hAnsi="Verdana"/>
          <w:color w:val="000000"/>
          <w:sz w:val="18"/>
          <w:szCs w:val="18"/>
        </w:rPr>
        <w:br/>
        <w:t>молодых учёных «Ломоносов» в г. Москве (9-13 апреля 2012 г.),</w:t>
      </w:r>
      <w:r>
        <w:rPr>
          <w:rFonts w:ascii="Verdana" w:hAnsi="Verdana"/>
          <w:color w:val="000000"/>
          <w:sz w:val="18"/>
          <w:szCs w:val="18"/>
        </w:rPr>
        <w:br/>
        <w:t>Международной научной конференции молодых ученых, аспирантов и</w:t>
      </w:r>
      <w:r>
        <w:rPr>
          <w:rFonts w:ascii="Verdana" w:hAnsi="Verdana"/>
          <w:color w:val="000000"/>
          <w:sz w:val="18"/>
          <w:szCs w:val="18"/>
        </w:rPr>
        <w:br/>
        <w:t>студентов «Ценности современного конституционализма» (V Тодыковские</w:t>
      </w:r>
      <w:r>
        <w:rPr>
          <w:rFonts w:ascii="Verdana" w:hAnsi="Verdana"/>
          <w:color w:val="000000"/>
          <w:sz w:val="18"/>
          <w:szCs w:val="18"/>
        </w:rPr>
        <w:br/>
        <w:t>чтения) в Национальном университете «Юридическая академия Украины</w:t>
      </w:r>
      <w:r>
        <w:rPr>
          <w:rFonts w:ascii="Verdana" w:hAnsi="Verdana"/>
          <w:color w:val="000000"/>
          <w:sz w:val="18"/>
          <w:szCs w:val="18"/>
        </w:rPr>
        <w:br/>
        <w:t>имени Ярослава Мудрого» в г. Харьков (28-29 сентября 2012 г.), V</w:t>
      </w:r>
      <w:r>
        <w:rPr>
          <w:rFonts w:ascii="Verdana" w:hAnsi="Verdana"/>
          <w:color w:val="000000"/>
          <w:sz w:val="18"/>
          <w:szCs w:val="18"/>
        </w:rPr>
        <w:br/>
        <w:t>Всероссийской научной конференции "Россия 2030 глазами молодых ученых" в</w:t>
      </w:r>
      <w:r>
        <w:rPr>
          <w:rFonts w:ascii="Verdana" w:hAnsi="Verdana"/>
          <w:color w:val="000000"/>
          <w:sz w:val="18"/>
          <w:szCs w:val="18"/>
        </w:rPr>
        <w:br/>
        <w:t>г. Москве (5 апреля 2013 г.), Международной конференции студентов,</w:t>
      </w:r>
      <w:r>
        <w:rPr>
          <w:rFonts w:ascii="Verdana" w:hAnsi="Verdana"/>
          <w:color w:val="000000"/>
          <w:sz w:val="18"/>
          <w:szCs w:val="18"/>
        </w:rPr>
        <w:br/>
        <w:t>аспирантов и молодых учёных «Эволюция права - 2013», проведенной в рамках</w:t>
      </w:r>
      <w:r>
        <w:rPr>
          <w:rFonts w:ascii="Verdana" w:hAnsi="Verdana"/>
          <w:color w:val="000000"/>
          <w:sz w:val="18"/>
          <w:szCs w:val="18"/>
        </w:rPr>
        <w:br/>
        <w:t>VIII Фестиваля науки в г. Москве (11 октября 2013 года), IV Международной</w:t>
      </w:r>
      <w:r>
        <w:rPr>
          <w:rFonts w:ascii="Verdana" w:hAnsi="Verdana"/>
          <w:color w:val="000000"/>
          <w:sz w:val="18"/>
          <w:szCs w:val="18"/>
        </w:rPr>
        <w:br/>
        <w:t>научно-практической конференции «Актуальные проблемы современных</w:t>
      </w:r>
      <w:r>
        <w:rPr>
          <w:rFonts w:ascii="Verdana" w:hAnsi="Verdana"/>
          <w:color w:val="000000"/>
          <w:sz w:val="18"/>
          <w:szCs w:val="18"/>
        </w:rPr>
        <w:br/>
        <w:t>общественных наук: диалог общества и власти» в г. Уфе (2-15 июня 2014 г.), а</w:t>
      </w:r>
      <w:r>
        <w:rPr>
          <w:rFonts w:ascii="Verdana" w:hAnsi="Verdana"/>
          <w:color w:val="000000"/>
          <w:sz w:val="18"/>
          <w:szCs w:val="18"/>
        </w:rPr>
        <w:br/>
        <w:t>также на семинарах научно-учебной группы «Анализ и моделирование</w:t>
      </w:r>
      <w:r>
        <w:rPr>
          <w:rFonts w:ascii="Verdana" w:hAnsi="Verdana"/>
          <w:color w:val="000000"/>
          <w:sz w:val="18"/>
          <w:szCs w:val="18"/>
        </w:rPr>
        <w:br/>
        <w:t>конкурентного правопорядка» исследовательского проекта Национального</w:t>
      </w:r>
      <w:r>
        <w:rPr>
          <w:rFonts w:ascii="Verdana" w:hAnsi="Verdana"/>
          <w:color w:val="000000"/>
          <w:sz w:val="18"/>
          <w:szCs w:val="18"/>
        </w:rPr>
        <w:br/>
        <w:t>исследовательского университета «Высшая школа экономики»</w:t>
      </w:r>
    </w:p>
    <w:p w14:paraId="1ACB2922"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«Антимонопольное регулирование политической конкуренции» (номер проекта: 12-05-0006)</w:t>
      </w:r>
      <w:r>
        <w:rPr>
          <w:rFonts w:ascii="Verdana" w:hAnsi="Verdana"/>
          <w:color w:val="000000"/>
          <w:sz w:val="18"/>
          <w:szCs w:val="18"/>
          <w:vertAlign w:val="superscript"/>
        </w:rPr>
        <w:t>2</w:t>
      </w:r>
      <w:r>
        <w:rPr>
          <w:rFonts w:ascii="Verdana" w:hAnsi="Verdana"/>
          <w:color w:val="000000"/>
          <w:sz w:val="18"/>
          <w:szCs w:val="18"/>
        </w:rPr>
        <w:t>.</w:t>
      </w:r>
    </w:p>
    <w:p w14:paraId="7EF5CA99" w14:textId="77777777" w:rsidR="00943C22" w:rsidRDefault="00943C22" w:rsidP="00943C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w:t>
      </w:r>
      <w:r>
        <w:rPr>
          <w:rStyle w:val="apple-converted-space"/>
          <w:rFonts w:ascii="Verdana" w:hAnsi="Verdana"/>
          <w:color w:val="000000"/>
          <w:sz w:val="18"/>
          <w:szCs w:val="18"/>
        </w:rPr>
        <w:t> </w:t>
      </w:r>
      <w:r>
        <w:rPr>
          <w:rStyle w:val="af2"/>
          <w:rFonts w:ascii="Verdana" w:hAnsi="Verdana"/>
          <w:color w:val="000000"/>
          <w:sz w:val="18"/>
          <w:szCs w:val="18"/>
        </w:rPr>
        <w:t>работы.</w:t>
      </w:r>
      <w:r>
        <w:rPr>
          <w:rStyle w:val="apple-converted-space"/>
          <w:rFonts w:ascii="Verdana" w:hAnsi="Verdana"/>
          <w:color w:val="000000"/>
          <w:sz w:val="18"/>
          <w:szCs w:val="18"/>
        </w:rPr>
        <w:t> </w:t>
      </w:r>
      <w:r>
        <w:rPr>
          <w:rFonts w:ascii="Verdana" w:hAnsi="Verdana"/>
          <w:color w:val="000000"/>
          <w:sz w:val="18"/>
          <w:szCs w:val="18"/>
        </w:rPr>
        <w:t>Структура диссертационного исследования</w:t>
      </w:r>
    </w:p>
    <w:p w14:paraId="366A5A33" w14:textId="77777777" w:rsidR="00943C22" w:rsidRDefault="00943C22" w:rsidP="00943C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Урожайность насаждений сосны кедровой корейской</w:t>
      </w:r>
    </w:p>
    <w:p w14:paraId="291331DE"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Н. Моисеенко [66, 67, 68] по характеру возобновления кедровники Дальнего Востока делит на возникшие в результате пожаров, ветровалов, рубок. Фаза преобладания лиственных пород в период формирования кедровников значительно продолжительнее и достигает 130–150 лет. Смена господства кедра лиственными породами по, С. Н. Моисеенко, проходит не как закономерное явление (по Б. А. Ивашкевичу и Б. П. Колесникову, в 8-й стадии), а либо после пожара, либо ветровала, либо вырубки. Естественно, лесовосстановительные процессы воспроизводства сосны кедровой корейской в этом случае будут протекать по длительно-восстановительной стадии или сукцессии. С момента рубки после рубочная сукцессия, по Ф. Клементсу [144], будет развиваться по правилам вторичной сукцессии: частичная сукцессия обнажения (за счет выборки кедра), сукцессия миграции (искусственно измененный состав древесных пород), сукцессия эцезиса (колонизации) и сукцессия соревнования (увеличение доли лиственных быстрорастущих пород за счет искусственно созданных рубкой преимуществ). Вмешательство в этот процесс возможно сразу после рубки путем создания лесных культур, либо через определенное время с реконструированием </w:t>
      </w:r>
      <w:r>
        <w:rPr>
          <w:rFonts w:ascii="Verdana" w:hAnsi="Verdana"/>
          <w:color w:val="000000"/>
          <w:sz w:val="18"/>
          <w:szCs w:val="18"/>
        </w:rPr>
        <w:lastRenderedPageBreak/>
        <w:t>лиственного насаждения. В этом случае искусственным способом будет создано одновозрастное насаждение сосны кедровой корейской.</w:t>
      </w:r>
    </w:p>
    <w:p w14:paraId="606CD53B"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Глазомерное выделение поколений в естественных кедровниках–задача очень сложная. Как показал поставленный С. Н. Моисеенко опыт, ошибка определения диаметров отдельных поколений достигает 25 %. На этом основании он отказался от выделения поколений в кедровниках, отдав предпочтение ярусам. По его мнению, выделение поколений возможно лишь у асимметрично резко разновозрастных древостоев и то при условии, если они чистые по составу, т. е. кедр имеет явное преобладание (8–10 единиц). В этой категории кедровников распределение стволов по возрасту имеет асимметричность и на первые пять ступеней толщины приходится 62 % общего числа деревьев. Возраст древостоев основного яруса находится в пределах 220–250 лет, подчиненного 100–150 лет. Это наиболее распространенная категория древостоев. Практически не имеет смысла выделить поколения в условно одновозрастных, разновозрастных и асимметрично резко разновозрастных древостоях</w:t>
      </w:r>
    </w:p>
    <w:p w14:paraId="4A3D327E"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Условно одновозрастные кедровники (по С.Н. Моисеенко) характеризуются наиболее простыми по возрастному строению древостоями. Большая часть деревьев здесь приходится на 40–60-летний интервал. Варьирование возрастов у деревьев одной ступени толщины достигают 100 лет, но, как правило, не превышает 40–50 лет. Распределение стволов по естественным ступеням возраста близко к нормальному. В ступенях 0,7–1,3 сосредоточено 80–85% всех деревьев, их средний возраст равен 150–170 годам.</w:t>
      </w:r>
    </w:p>
    <w:p w14:paraId="28C6E17E"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разновозрастных древостоях подавляющая часть деревьев кедра сосредоточена в 80–220-летнем интервале. Разница возрастов у одной ступени толщины достигает 140 лет. Эти древостои на 40–50 лет старше предыдущей группы (190–220 лет).</w:t>
      </w:r>
    </w:p>
    <w:p w14:paraId="70C570D1"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Последняя группа кедровников отличается высокой амплитудой колебания возрастов (40–500 лет), как в целом по древостою, так и в пределах одной ступени (160–240 лет). В сравнении с разновозрастными эти древостои на 80 лет старше.</w:t>
      </w:r>
    </w:p>
    <w:p w14:paraId="6185FE28"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Принято считать, что поколение является простейшей единицей возрастной структуры. Применительно к живым организмам это–группа близких по возрасту особей, а к древостоям–группа близких по возрасту деревьев. Одновозрастные древостои, как правило, состоят из одного поколения или имеют близкую по возрасту группу деревьев. Чаще всего этот интервал равен для лиственных пород 10 годам, хвойных–20 годам. В одновозрастных древостоях, состоящих из одного поколения распределение деревьев по ступеням таксационного признака, как в абсолютных, так и в относительных величинах характеризуется одновершинной кривой и описывается уравнением Лапласа Гауса или Пирсона IV.</w:t>
      </w:r>
    </w:p>
    <w:p w14:paraId="6C7424A9"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 В. Семечкин [85] под поколением понимает совокупность деревьев одной породы, сформировавшихся в процессе использования экологической ниши, однородных в генетическом, возрастном, морфологическом и фитоценотическом отношениях. А. И. Бузыкин [7], А. И. Бузыкин, В. Л. Гавриков, О. И. Секретенко, Р. Г. Хлебопрос [4] под поколением понимают такую совокупность деревьев, которая отделяется от соседних по времени возникновения временным интервалом, </w:t>
      </w:r>
      <w:r>
        <w:rPr>
          <w:rFonts w:ascii="Verdana" w:hAnsi="Verdana"/>
          <w:color w:val="000000"/>
          <w:sz w:val="18"/>
          <w:szCs w:val="18"/>
        </w:rPr>
        <w:lastRenderedPageBreak/>
        <w:t>равным сумме периодов начального и быстрого роста. За пределами этого времени функциональные свойства древесного ценоза способны обеспечить под своим пологом формирование последующего поколения. Указанное время предлагается считать интервалом, отделяющим одно поколение от другого.</w:t>
      </w:r>
    </w:p>
    <w:p w14:paraId="3EAF6952"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исследователей сложилось мнение, что теневыносливые породы нормально развиваются под пологом и образуют разновозрастные древостои, а на гарях и ветровалах – одновозрастные. Е. П. Смолоногов, В. А. Кирсанов [86] считают, что непрерывный процесс возобновления кедра обеспечивается за счет его зоохорности. По их мнению, уже в этом процессе заложен момент разновозрастности кедровников, поскольку семенные годы у кедра сибирского наблюдаются через определенные промежутки времени (4 – 8 лет).</w:t>
      </w:r>
    </w:p>
    <w:p w14:paraId="6A68476D"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Обобщая опыт предшественников, Г. Е. Комин, И. В. Семечкин [52] предложили генетическую схему лесов. По характеру возрастного строения кедровники Сибири предлагают делить на несколько крупных, хозяйственно важных и практически обособленных групп: одновозрастные, условно или относительно разновозрастные и разновозрастные. Количественной придержкой для выделения возрастной группы является 12-ой % интервал. В этом интервале деревья будут относиться к одному поколению и это поколение будет иметь свой темп роста, отличающийся от других поколений и обусловленный в первую очередь колебаниями климата, особенно вековыми. Поэтому при изучении хода роста разновозрастных древостоев механический перенос закономерностей роста одного поколения на другое не допускается.</w:t>
      </w:r>
    </w:p>
    <w:p w14:paraId="3D891C3B"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Другая точка зрения у П. М. Верхунова [8]. Он пришел к выводу, что в разновозрастных объектах достаточно изучить рост и развитие одного поколения, а остальные поколения леса в спирально-циклическом развитии будут относительно повторять картину изменения таксационных показателей насаждения.</w:t>
      </w:r>
    </w:p>
    <w:p w14:paraId="500CD208" w14:textId="77777777" w:rsidR="00943C22" w:rsidRDefault="00943C22" w:rsidP="00943C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Рост кедровых сосен в географических культурах</w:t>
      </w:r>
    </w:p>
    <w:p w14:paraId="16E26B81"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программу исследований входило: изучить продуктивность естественных и искусственных насаждений сосны кедровой корейской и факторов, на нее влияющих; установить орехопродуктивность лесосеменных плантаций; проанализировать рост саженцев в зависимости от географического происхождения и способов создания лесных культур; оценить рост саженцев с разными способами защиты корневой системы. Программа работ была дифференцирована по двум этапам. На первом этапе была разработана стратегия исследования древостоев сосны кедровой корейской: изучены литературные источники, материалы лесоустройства, особенности лесообразовательных процессов в древостоях сосны кедровой корейской.</w:t>
      </w:r>
    </w:p>
    <w:p w14:paraId="0742EB3D"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этап исследований был ориентирован на решение вопросов, связанных со сбором экспериментального материала, определением циклов в развитии кедровников, влиянием условий произрастания на изменчивость регенеративных органов сосны кедровой корейской, построением оценочных шкал, сравнением разных способов защиты корневой системы саженцев, влиянием верхнего полога на рост саженцев сосны кедровой корейской и др.</w:t>
      </w:r>
    </w:p>
    <w:p w14:paraId="2D473F8E"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анализе участвовала лесоводственная информация, отражающая особенности роста естественных и искусственных насаждений сосны кедровой корейской на Дальнем Востоке [93]. Для сравнения регенеративных органов, видового многообразия кедрово-широколиственных лесов делалось сравнение с сосной кедровой сибирской, а также кедром корейским, произрастающим в Японии. В последнем случае сравнения проводились по литературным данным.</w:t>
      </w:r>
    </w:p>
    <w:p w14:paraId="215DED80"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Методика исследований предусматривала привлечение архивных материалов, в которых отражены ход роста, строение и продуктивность кедровых древостоев. Обусловлено это тем, что с 1990 г. кедр запрещен в рубку. Подобрать в этой связи необходимую лесотаксационную информацию о кедровых древостоях было достаточно сложно. Динамика продуктивности сосны кедровой корейской изучена по данным таблиц классов возраста кедрово-широколиственных лесов Хабаровского края и Еврейской автономной области на площади 802 тыс. га (см. таблица 1.1). База сформирована по таксационным описаниям лесоустройства. Эти данные позволили оценить продуктивность кедровой формации в границах крупного региона (рисунок 2.1) и получить некоторые усредненные цифры по основным таксационным показателям.</w:t>
      </w:r>
    </w:p>
    <w:p w14:paraId="2B6D02D8"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Первичный экспериментальный материал включал: пробные площади, пройденные рубками разной интенсивности (6 шт.), ленточные пробные площади (105 шт.), которые увязаны с высотой над уровнем моря, модельные деревья кедра, на которых возрастным буравом на высоте 1,3 м определен возраст дерева (558 кернов), лесосеменная плантация сосны корейской (1,5 га), на которой произведены замеры морфометрических параметров молодых деревьев, регенеративных органов, произведен подсчет урожая кедровых семян, интродукционные культуры сосны корейской и кедра сибирского (2,6 га), лесные культуры сосны кедровой корейской (2001–2015 гг.), высаженные под пологом леса и на открытых местах волонтерами из Японии (Мусасино-Тама-Хабаровск) (более 50 га), городские посадки сосны кедровой корейской. Исследования базировались на методах инструментальной оценки состояния насаждений, биометрических замерах параметров древостоев и репродуктивных органов, поиске региональных закономерностей, разработке технологий и нормативов для таксации кедровых древостоев естественного и искусственного происхождения, выращивания саженцев при разных вариантах защиты корневой системы, создания лесных культур под пологом леса и на открытых пространствах.</w:t>
      </w:r>
    </w:p>
    <w:p w14:paraId="1012ECEB"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Возрастные образцы (керны) сосны кедровой корейской были собраны в процессе подготовки Руководства для ведения хозяйства в кедрово-широколиственных лесах Дальнего Востока (кедр корейский) [9, 81, 82].</w:t>
      </w:r>
    </w:p>
    <w:p w14:paraId="41179BAF"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результате выборочных рубок кедра корейского была нарушена возрастная структура насаждений. Для того чтобы назначить лесохозяйственные мероприятия в расстроенных рубками древостоях, важно знать тип возрастной структуры. Шкала типов возрастной структуры строилась на основе изменчивости годичных колец. В годичных кольцах дерева «записана» его история роста, анализируя которые, можно по совокупности деревьев определить возрастные изменения в изучаемом насаждении. Всего в анализе участвовало 558 кернов. Взяты они были на высоте 1,3 м возрастным буравом. Для изучения цикличности радиального прироста сосны кедровой корейской </w:t>
      </w:r>
      <w:r>
        <w:rPr>
          <w:rFonts w:ascii="Verdana" w:hAnsi="Verdana"/>
          <w:color w:val="000000"/>
          <w:sz w:val="18"/>
          <w:szCs w:val="18"/>
        </w:rPr>
        <w:lastRenderedPageBreak/>
        <w:t>анализировали размеры годичного кольца. Выявление тенденций резкого увеличения прироста по диаметру осуществляли с помощью группировки</w:t>
      </w:r>
    </w:p>
    <w:p w14:paraId="41BC57C6"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Образцы кернов сосны кедровой корейской годичных колец по 3-летиям и 9-летиям. Образцы сначала шлифовали (рисунок 2.2), а затем сканировали аппаратом SAMSUNG SCX – 4200 (разрешение 1200 dp i). С помощью цифрового микроскопа (miyoshi UK – 02), датчик CMOS 2 млн пикселей, проводили съёмку 20 раз. Использование программы анализа изображений «Micro Capture 20x-200x V2.0» позволило измерить ширину годичных колец с точностью до 1/100 мм, разделяя кольцо на раннюю и позднюю древесину (рисунок 2.3).</w:t>
      </w:r>
    </w:p>
    <w:p w14:paraId="7180208B"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Проведенные по шести пробным площадям (по 10 моделей на каждой) измерения четко характеризуют особенности отложения радиального прироста по диаметру в кедровниках Хабаровского края и Еврейской автономной области (рисунок 2.4).</w:t>
      </w:r>
    </w:p>
    <w:p w14:paraId="5B6D57A0"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Размеры годичного кольца на пробных площадях изменяются от 1,03 мм до 1.42 мм. Разница в размерах годичного кольца, равная 37 %, к району четко не привязана. Минимальный коэффициент изменчивости годичных колец отмечен на пробной площади № 8 (Облучье), а максимальный – на пробной площади № 8 (Арсеньев). На рисунке 2.4. показаны изменения годичных колец сосны кедровой по шести пробным площадям, на каждой из которых анализировалось по 10 модельных деревьев.</w:t>
      </w:r>
    </w:p>
    <w:p w14:paraId="0CC77AF5"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Максимальная нарушенность древесного яруса (завышенный процент выборки сосны кедровой корейской) наблюдалась на пробной площади № 8 (Арсеньев), а минимальная, близкая к естественной, на пробной площади № 4 (Облучье).</w:t>
      </w:r>
    </w:p>
    <w:p w14:paraId="5BC4B6B5" w14:textId="77777777" w:rsidR="00943C22" w:rsidRDefault="00943C22" w:rsidP="00943C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Выращивание сеянцев с закрытой корневой системой</w:t>
      </w:r>
    </w:p>
    <w:p w14:paraId="24A23651"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Судя по рисунку 3.10, можно сделать вывод, что в конце прошлого века условия произрастания кедрово-широколиственных лесов резко изменились в лучшую сторону, что отразилось на величине радиального прироста оставшихся в насаждении деревьев сосны кедровой корейской.</w:t>
      </w:r>
    </w:p>
    <w:p w14:paraId="7E0A7EDD"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определении типов возрастной структуры в таких древостоях возникают трудности. Считать их разновозрастными или условно-одновозрастными путем визуальной оценки некорректно. Необходима простейшая, но объективная шкала, позволяющая определять тип возрастной структуры. Для этой цели использовано соотношение среднеквадратического отклонения к средней ширине годичного слоя (таблица 3.5).</w:t>
      </w:r>
    </w:p>
    <w:p w14:paraId="73B1E263"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Отношение ширины годичных колец к их среднеквадратическому отклонению характеризует изменчивость радиального прироста в течение определенного временного отрезка и, чем оно больше, тем разнообразней условия произрастания сосны кедровой корейской или активней антропогенные факторы, на нее воздействующие. Среднеквадратическое отклонение на 75 % обусловлено шириной годичного слоя. Между этими величинами наблюдается тесная </w:t>
      </w:r>
      <w:r>
        <w:rPr>
          <w:rFonts w:ascii="Verdana" w:hAnsi="Verdana"/>
          <w:color w:val="000000"/>
          <w:sz w:val="18"/>
          <w:szCs w:val="18"/>
        </w:rPr>
        <w:lastRenderedPageBreak/>
        <w:t>корреляционная зависимость, которая с достаточно высоким коэффициентом детерминации передается линейным уравнением регрессии (рисунок 3.11).</w:t>
      </w:r>
    </w:p>
    <w:p w14:paraId="0A46E4C8"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Среднеквадратические отклонения, находящиеся на верхнем пределе поля варьирования среднеквадратических отклонений, характеризуют насаждения, относящиеся к разновозрастным, насаждения, попавшие на нижний предел варьирования значений среднеквадратического отклонения, будут относиться к одновозрастным, и, наконец, насаждения, у которых средняя величина радиального прироста соответствует подобранной линии регрессии, будут относиться к условно разновозрастным. В данном случае показан методический подход к классификации насаждений по типам возрастной структуры. Увеличение количества пробных площадей позволит проверить адекватность предлагаемого подхода к определению типа возрастной структуры кедровых насаждений. Рисунок 3.11 – Связь среднеквадратического отклонения со средней шириной годичного кольца</w:t>
      </w:r>
    </w:p>
    <w:p w14:paraId="5CC38706"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средняя ширина годичного кольца пяти модельных деревьев сосны кедровой корейской равна 0,86 мм, а среднеквадратическое отклонение -0.78. Из этого следует, что насаждение по типу возрастной структуры относится к условно разновозрастным. Если сравнивать два района, то кедровники произрастающие в Нанайском районе (п. Арсеньево), ближе всего к разновозрастным. В составе древостоя 30 % сосны кедровой корейской. Пробные площади занимают склоны южной экспозиции, почвы достаточно увлажненные и благоприятные для роста кедра. До рубки здесь росли высокопродуктивные древостои с участием кедра корейского в составе древостое более 60 % [101].</w:t>
      </w:r>
    </w:p>
    <w:p w14:paraId="541FDE20"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измерений радиального прироста сосны кедровой корейской на пробных площадях (пп) в районе п. Арсеньево (пп № 8) показал, что в 1940 году у 8 моделей из 10 четко наблюдался пик увеличения радиального прироста. Аналогичное повышение радиального прироста наблюдалось в 1860 г. Всплеск радиального прироста был и в 1900 г. С определенной долей погрешности можно сказать, что в кедровниках на одной из пробных площадей наблюдается 40-летняя цикличность, установленная Д. С. Малоквасовым [13] (рисунок 3.12). Облучье ППІ 1 год</w:t>
      </w:r>
    </w:p>
    <w:p w14:paraId="65994F82"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На других пробных площадях этой закономерности не отмечено. Есть небольшие подъемы радиального прироста у отдельных образцов, но они, видимо, обусловлены локальными факторами (вырубкой или падением рядом стоящего дерева).</w:t>
      </w:r>
    </w:p>
    <w:p w14:paraId="458C1EEB"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проявления усиливающихся тенденций в приросте по диаметру применили способ скользящей средней, аналогично Д. С. Малоквасову, с объединением экспериментального материала в группы по 3 и 9 лет [135]. Как и ожидали, четкая 40-летняя цикличность, проявилась только на 8-ой пробной площади (см. рисунок 3.12). Циклы практически совпали с погодичным анализом радиального прироста. Всплески радиального прироста у образцов отмечены на пробной площади № 2 (Облучье). На других пробных площадях также можно отметить по 2–4 случая повышения величины радиального прироста, но они имеют разный возрастной интервал, значительно меньше, чем 40 лет. Например, трехлетняя группировка выявила близкие к 40-летним циклы на пп. № 1 </w:t>
      </w:r>
      <w:r>
        <w:rPr>
          <w:rFonts w:ascii="Verdana" w:hAnsi="Verdana"/>
          <w:color w:val="000000"/>
          <w:sz w:val="18"/>
          <w:szCs w:val="18"/>
        </w:rPr>
        <w:lastRenderedPageBreak/>
        <w:t>(Облучье). Возрастные интервалы между всплесками варьируются от 45 до 28 лет, а на пробной площади № 8 можно выделить 80-летний цикл.</w:t>
      </w:r>
    </w:p>
    <w:p w14:paraId="2B8AFE68"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Девятилетняя группировка годичных колец (см. рисунок 3.12) подтвердила цикличность радиального прироста кедровых сосен у большинства пробных площадей. Однако четкий 40-летний интервал не установлен ни на одной из анализируемых пробных площадей. Видимо, это связано с существенным варьированием радиального прироста анализируемых кернов по годам.</w:t>
      </w:r>
    </w:p>
    <w:p w14:paraId="0E4E97E1"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Проведенный анализ показал, что цикличность радиального прироста у сосны кедровой корейской существует, но у большинства пробных площадей она не имеет четкий возрастной интервал, равный 40 годам.</w:t>
      </w:r>
    </w:p>
    <w:p w14:paraId="782539C6" w14:textId="77777777" w:rsidR="00943C22" w:rsidRDefault="00943C22" w:rsidP="00943C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Рост сосны кедровой корейской в городских посадках</w:t>
      </w:r>
    </w:p>
    <w:p w14:paraId="4726531F"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же сеянцы высаживать без защиты корневой системы, то их приживаемость, сохранность и дальнейший рост существенно снижаются. Это необходимо учитывать при высадке лесных культур на открытых пространствах, характеризующихся повышенной инсоляцией, а также при озеленении городов, где почвенные условия неблагоприятны для высадки сеянцев сосны кедровой корейской.</w:t>
      </w:r>
    </w:p>
    <w:p w14:paraId="244F9F36"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Посадка сеянцев в летний период особенно актуальна в местах проведения озеленительных работ городских территорий. В Хабаровске такой опыт был поставлен. Используя новые экологические горшки, в августе 2011 г. сначала в районе «Воронежа», г Хабаровск [130], а затем на территории Японии в районе горы Фудзи японо-российская «зеленая молодежь» провела результативные посадки кедра корейского, которые на 100 % прижились. Этот успех был освящен в японской прессе (рисунок 4.16). Здесь важно отметить то, что посадками занимались школьники младших классов, которые в это время находились на каникулах. Приобретенный ими опыт, в перспективе, может оказать влияние на выбор профессии и позволит им связать свою будущую производственную деятельность с лесным хозяйством или городской экологией. В Японии это экологическое движение получило широкое развитие, в России оно все еще находится в стадии эксперимента. На наш взгляд, необходимо активизировать работу в этом важном направлении, например, проводить посадки сосны кедровой корейской в виде учебной практики в школах и вузах.</w:t>
      </w:r>
    </w:p>
    <w:p w14:paraId="1D9B9104"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контроля за процессами роста молодых саженцев и назначения своевременных хозяйственных мероприятий важно знать точное время посадки деревьев или посадочный возраст. В связи с этим были проведены исследования по установлению посадочного возраста с помощью распила ствола и последующего анализа годичных колец, а также с помощью измерения длины хвои и особенности мутовки сосны кедровой корейской.</w:t>
      </w:r>
    </w:p>
    <w:p w14:paraId="74171B58"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Возраст посадки саженца под пологом леса или на открытом пространстве можно установить по годичным кольцам у шейки корня на срезанном саженце. Анализ годичных колец показал, что годичные кольца на момент выращивания сеянца в питомнике имели правильную круглую форму. При пересадке сеянца в грунт очень трудно сохранить строго вертикальное </w:t>
      </w:r>
      <w:r>
        <w:rPr>
          <w:rFonts w:ascii="Verdana" w:hAnsi="Verdana"/>
          <w:color w:val="000000"/>
          <w:sz w:val="18"/>
          <w:szCs w:val="18"/>
        </w:rPr>
        <w:lastRenderedPageBreak/>
        <w:t>положение саженца, поэтому в последующем в процессе роста у него формируются эксцентрические кольца, по которым можно определить год посадки (рисунок 4.17).</w:t>
      </w:r>
    </w:p>
    <w:p w14:paraId="3580F774"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обследовании поперечного среза у основания стволика сосны кедровой корейской (рисунок 4.16) можно наблюдать уплотнение более насыщенного цвета. У деревьев хвойных пород, растущих под углом или на наклонной поверхности, в стволе на стороне наклона проявляются образования (уплотнения), которые называются «крень». Судя по форме образований, саженец не был посажен вертикально в грунт, однако ствол стремился восстановить вертикальное положение, в результате чего такое образование и появилось. Из проведенного анализа можно предположить, что саженец, основной ствол которого имеет наклонное положение, подвергается стрессу до тех пор, пока он не занял вертикальное положение. И это может оказать влияние на его дальнейшую жизнеспособность. Не строго вертикальная посадка, нарушения корневой системы в период посадки оказывают влияние на прирост саженцев в высоту и по диаметру - он снижается, в некоторых случаях ведет к его гибели.</w:t>
      </w:r>
    </w:p>
    <w:p w14:paraId="2FA1F9FA"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В таком методе оценки на основании годичных колец и образующегося уплотнения есть как сильная сторона, выражающаяся в достоверности, так и недостаток, проявляющийся в том, что после среза процесс дальнейшего роста невозможно отследить. Для выяснения особенностей непрерывного роста саженца после его пересадки нами были опробованы иные способы, отличные от вышеописанного - разрушительного способа. Например способ определения года посадки по форме хвои. Суть метода сводится к анализу размеров хвои саженцев по годам (рисунок 4.17).</w:t>
      </w:r>
    </w:p>
    <w:p w14:paraId="73FFC7AE"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Рисунок 4.17 - Хвоя, появившаяся на саженцах весной в год посадки, через год после посадки и через 2 года после посадки. Масштаб 10 см На сосне кедровой корейской после посадки растет хвоя 4 возрастов. Нами было произведено измерение длины хвои, появившейся за год до посадки, в год посадки, через год и через два года после посадки. При сравнительном анализе (рисунок 4.18) выяснилось, что в год посадки хвоя была короткой, на следующий год она стала длиннее, а через 2 года приобрела нормальную длину. В качестве причины того, что на следующий после посадки год хвоя становится длиннее, можно назвать то, что питательные вещества, накапливавшиеся при выращивании сеянца в питомнике, в год посадки не расходовались, а использовались для роста в новых условиях в следующем году. Значительная разница в длинах хвои заметна даже невооруженным глазом, поэтому достаточно легко определить год посадки. Однако этим способом можно воспользоваться только в течение первых 4 лет, пока хвоя доступна для анализа. Такой способ можно считать эффективным для анализа процесса роста высаженных под пологом маленьких саженцев с небольшим количеством ответвлений.</w:t>
      </w:r>
    </w:p>
    <w:p w14:paraId="369C5293" w14:textId="77777777" w:rsidR="00943C22" w:rsidRDefault="00943C22" w:rsidP="00943C2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определения возраста посадки крупномерным материалом использован метод мутовок. У сосны кедровой корейской мутовка появляется обычно один раз в год. В питомнике процесс роста сеянца происходит практически без отклонений, однако после пересадки из-за воздействия на корневую систему годовой прирост резко уменьшается (рисунок 4.18)</w:t>
      </w:r>
    </w:p>
    <w:p w14:paraId="5C47EA91" w14:textId="77777777" w:rsidR="00943C22" w:rsidRPr="00943C22" w:rsidRDefault="00943C22" w:rsidP="00943C22"/>
    <w:sectPr w:rsidR="00943C22" w:rsidRPr="00943C2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A7A57" w14:textId="77777777" w:rsidR="00776C50" w:rsidRDefault="00776C50">
      <w:pPr>
        <w:spacing w:after="0" w:line="240" w:lineRule="auto"/>
      </w:pPr>
      <w:r>
        <w:separator/>
      </w:r>
    </w:p>
  </w:endnote>
  <w:endnote w:type="continuationSeparator" w:id="0">
    <w:p w14:paraId="0FC6A572" w14:textId="77777777" w:rsidR="00776C50" w:rsidRDefault="0077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5D7D9" w14:textId="77777777" w:rsidR="00776C50" w:rsidRDefault="00776C50">
      <w:pPr>
        <w:spacing w:after="0" w:line="240" w:lineRule="auto"/>
      </w:pPr>
      <w:r>
        <w:separator/>
      </w:r>
    </w:p>
  </w:footnote>
  <w:footnote w:type="continuationSeparator" w:id="0">
    <w:p w14:paraId="7E23370E" w14:textId="77777777" w:rsidR="00776C50" w:rsidRDefault="00776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00E3E8A"/>
    <w:multiLevelType w:val="multilevel"/>
    <w:tmpl w:val="FDDCA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54A2725"/>
    <w:multiLevelType w:val="multilevel"/>
    <w:tmpl w:val="E6723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28679</TotalTime>
  <Pages>17</Pages>
  <Words>6986</Words>
  <Characters>39821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5603</cp:revision>
  <cp:lastPrinted>2009-02-06T05:36:00Z</cp:lastPrinted>
  <dcterms:created xsi:type="dcterms:W3CDTF">2016-09-19T15:12:00Z</dcterms:created>
  <dcterms:modified xsi:type="dcterms:W3CDTF">2017-02-17T12:47:00Z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