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B8EBB" w14:textId="77777777" w:rsidR="002F2E28" w:rsidRDefault="002F2E28" w:rsidP="002F2E28">
      <w:pPr>
        <w:pStyle w:val="afffffffffffffffffffffffffff5"/>
        <w:rPr>
          <w:rFonts w:ascii="Verdana" w:hAnsi="Verdana"/>
          <w:color w:val="000000"/>
          <w:sz w:val="21"/>
          <w:szCs w:val="21"/>
        </w:rPr>
      </w:pPr>
      <w:r>
        <w:rPr>
          <w:rFonts w:ascii="Helvetica" w:hAnsi="Helvetica" w:cs="Helvetica"/>
          <w:b/>
          <w:bCs w:val="0"/>
          <w:color w:val="222222"/>
          <w:sz w:val="21"/>
          <w:szCs w:val="21"/>
        </w:rPr>
        <w:t>Иванова, Наталия Анатольевна.</w:t>
      </w:r>
    </w:p>
    <w:p w14:paraId="100F722E" w14:textId="77777777" w:rsidR="002F2E28" w:rsidRDefault="002F2E28" w:rsidP="002F2E28">
      <w:pPr>
        <w:pStyle w:val="20"/>
        <w:spacing w:before="0" w:after="312"/>
        <w:rPr>
          <w:rFonts w:ascii="Arial" w:hAnsi="Arial" w:cs="Arial"/>
          <w:caps/>
          <w:color w:val="333333"/>
          <w:sz w:val="27"/>
          <w:szCs w:val="27"/>
        </w:rPr>
      </w:pPr>
      <w:r>
        <w:rPr>
          <w:rFonts w:ascii="Helvetica" w:hAnsi="Helvetica" w:cs="Helvetica"/>
          <w:caps/>
          <w:color w:val="222222"/>
          <w:sz w:val="21"/>
          <w:szCs w:val="21"/>
        </w:rPr>
        <w:t>Возможности и ограничения использования Россией "мягкой силы" в отношении стран Прибалтики : диссертация ... кандидата политических наук : 23.00.04 / Иванова Наталия Анатольевна; [Место защиты: Московский государственный институт международных отношений МИД РФ]. - Москва, 2018. - 239 с. : ил.</w:t>
      </w:r>
    </w:p>
    <w:p w14:paraId="3B9C04CF" w14:textId="77777777" w:rsidR="002F2E28" w:rsidRDefault="002F2E28" w:rsidP="002F2E2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Иванова, Наталия Анатольевна</w:t>
      </w:r>
    </w:p>
    <w:p w14:paraId="6B715895"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76602EBB"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2EDBDA2"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ПОДХОДЫ К «МЯГКОЙ СИЛЕ»</w:t>
      </w:r>
    </w:p>
    <w:p w14:paraId="5590D9E0"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Привлекательность как основной аспект концепции «мягкой силы» Дж. Ная</w:t>
      </w:r>
    </w:p>
    <w:p w14:paraId="3103410A"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Подход к понятию «мягкой силы» в официальных документах в России</w:t>
      </w:r>
    </w:p>
    <w:p w14:paraId="64E2EE3A"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Подходы к изучению «мягкой силы» в отечественной науке</w:t>
      </w:r>
    </w:p>
    <w:p w14:paraId="70DA1FDA"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ВОСПРИЯТИЕ «МЯГКОЙ СИЛЫ» РОССИИ В СТРАНАХ ПРИБАЛТИКИ</w:t>
      </w:r>
    </w:p>
    <w:p w14:paraId="7B04E6E7"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Особенности двусторонних отношений России и стран Прибалтики</w:t>
      </w:r>
    </w:p>
    <w:p w14:paraId="061B1DBD"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 современном этапе</w:t>
      </w:r>
    </w:p>
    <w:p w14:paraId="59508BD6"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Анализ подходов к восприятию «мягкой силы» России в странах</w:t>
      </w:r>
    </w:p>
    <w:p w14:paraId="02118915"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Прибалтики</w:t>
      </w:r>
    </w:p>
    <w:p w14:paraId="75C4932A"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РЕАЛИЗАЦИЯ РОССИЕЙ «МЯГКОЙ СИЛЫ» В СТРАНАХ ПРИБАЛТИКИ</w:t>
      </w:r>
    </w:p>
    <w:p w14:paraId="114E965E"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Российские СМИ и русскоязычные СМИ стран Прибалтики как проводники «мягкой силы» России</w:t>
      </w:r>
    </w:p>
    <w:p w14:paraId="0EEB521E"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Деятельность российских НПО, фондов и организаций соотечественников</w:t>
      </w:r>
    </w:p>
    <w:p w14:paraId="74BA04B0"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в странах Прибалтики</w:t>
      </w:r>
    </w:p>
    <w:p w14:paraId="1F52D232"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Сотрудничество России и стран Прибалтики в сфере образования</w:t>
      </w:r>
    </w:p>
    <w:p w14:paraId="47567E30"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Сотрудничество России и стран Прибалтики в сфере культуры, а также</w:t>
      </w:r>
    </w:p>
    <w:p w14:paraId="5C33CFDA"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физической культуры и спорта</w:t>
      </w:r>
    </w:p>
    <w:p w14:paraId="4AB9C4EC"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3C46CB2"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318AD623"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А. Неравномерность распределения российской повестки в СМИ стран Прибалтики и повестки стран Прибалтики (Латвии, Литвы и Эстонии) в</w:t>
      </w:r>
    </w:p>
    <w:p w14:paraId="3645BEA7"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российских СМИ. Сравнительный анализ</w:t>
      </w:r>
    </w:p>
    <w:p w14:paraId="2CAFE084"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Б. Ключевые сюжеты повестки СМИ стран Прибалтики о России (2013-2017 гг.)</w:t>
      </w:r>
    </w:p>
    <w:p w14:paraId="7244E53E"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В. Сравнительный анализ публикации по российской проблематике в русскоязычной версии и версии на литовском языке</w:t>
      </w:r>
    </w:p>
    <w:p w14:paraId="581B6BB1"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информационного портала delfi.lt (Литва)</w:t>
      </w:r>
    </w:p>
    <w:p w14:paraId="2EFF3BFF"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Г. Численность основных этнических групп и их доля в</w:t>
      </w:r>
    </w:p>
    <w:p w14:paraId="10AD5F2F"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населении стран Прибалтики</w:t>
      </w:r>
    </w:p>
    <w:p w14:paraId="662954BB" w14:textId="77777777" w:rsidR="002F2E28" w:rsidRDefault="002F2E28" w:rsidP="002F2E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Д. Проводники и ресурсы «мягкой силы» России, относимые органами безопасности Латвии, Литвы и Эстонии к категории угроз (2014 -2016 гг.)</w:t>
      </w:r>
    </w:p>
    <w:p w14:paraId="40294F55" w14:textId="6E34CA8B" w:rsidR="00050BAD" w:rsidRPr="002F2E28" w:rsidRDefault="00050BAD" w:rsidP="002F2E28"/>
    <w:sectPr w:rsidR="00050BAD" w:rsidRPr="002F2E2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0BC5C" w14:textId="77777777" w:rsidR="000848AE" w:rsidRDefault="000848AE">
      <w:pPr>
        <w:spacing w:after="0" w:line="240" w:lineRule="auto"/>
      </w:pPr>
      <w:r>
        <w:separator/>
      </w:r>
    </w:p>
  </w:endnote>
  <w:endnote w:type="continuationSeparator" w:id="0">
    <w:p w14:paraId="151E18B7" w14:textId="77777777" w:rsidR="000848AE" w:rsidRDefault="00084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92A2A" w14:textId="77777777" w:rsidR="000848AE" w:rsidRDefault="000848AE"/>
    <w:p w14:paraId="17536D18" w14:textId="77777777" w:rsidR="000848AE" w:rsidRDefault="000848AE"/>
    <w:p w14:paraId="768CF168" w14:textId="77777777" w:rsidR="000848AE" w:rsidRDefault="000848AE"/>
    <w:p w14:paraId="18160BC2" w14:textId="77777777" w:rsidR="000848AE" w:rsidRDefault="000848AE"/>
    <w:p w14:paraId="20CDD763" w14:textId="77777777" w:rsidR="000848AE" w:rsidRDefault="000848AE"/>
    <w:p w14:paraId="13CCB680" w14:textId="77777777" w:rsidR="000848AE" w:rsidRDefault="000848AE"/>
    <w:p w14:paraId="2F82158E" w14:textId="77777777" w:rsidR="000848AE" w:rsidRDefault="000848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34366D" wp14:editId="0D18CA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AC202" w14:textId="77777777" w:rsidR="000848AE" w:rsidRDefault="000848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3436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EAC202" w14:textId="77777777" w:rsidR="000848AE" w:rsidRDefault="000848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81C63F" w14:textId="77777777" w:rsidR="000848AE" w:rsidRDefault="000848AE"/>
    <w:p w14:paraId="099F3AAD" w14:textId="77777777" w:rsidR="000848AE" w:rsidRDefault="000848AE"/>
    <w:p w14:paraId="3C9AC5E1" w14:textId="77777777" w:rsidR="000848AE" w:rsidRDefault="000848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23B826" wp14:editId="745C3B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E92AF" w14:textId="77777777" w:rsidR="000848AE" w:rsidRDefault="000848AE"/>
                          <w:p w14:paraId="5EEE5096" w14:textId="77777777" w:rsidR="000848AE" w:rsidRDefault="000848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23B8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1E92AF" w14:textId="77777777" w:rsidR="000848AE" w:rsidRDefault="000848AE"/>
                    <w:p w14:paraId="5EEE5096" w14:textId="77777777" w:rsidR="000848AE" w:rsidRDefault="000848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A62A13" w14:textId="77777777" w:rsidR="000848AE" w:rsidRDefault="000848AE"/>
    <w:p w14:paraId="39A8CC81" w14:textId="77777777" w:rsidR="000848AE" w:rsidRDefault="000848AE">
      <w:pPr>
        <w:rPr>
          <w:sz w:val="2"/>
          <w:szCs w:val="2"/>
        </w:rPr>
      </w:pPr>
    </w:p>
    <w:p w14:paraId="1BBA5425" w14:textId="77777777" w:rsidR="000848AE" w:rsidRDefault="000848AE"/>
    <w:p w14:paraId="563ADCC4" w14:textId="77777777" w:rsidR="000848AE" w:rsidRDefault="000848AE">
      <w:pPr>
        <w:spacing w:after="0" w:line="240" w:lineRule="auto"/>
      </w:pPr>
    </w:p>
  </w:footnote>
  <w:footnote w:type="continuationSeparator" w:id="0">
    <w:p w14:paraId="3CFCF68F" w14:textId="77777777" w:rsidR="000848AE" w:rsidRDefault="00084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AE"/>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84547</TotalTime>
  <Pages>2</Pages>
  <Words>297</Words>
  <Characters>1698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3212</cp:revision>
  <cp:lastPrinted>2009-02-06T05:36:00Z</cp:lastPrinted>
  <dcterms:created xsi:type="dcterms:W3CDTF">2024-01-07T13:43:00Z</dcterms:created>
  <dcterms:modified xsi:type="dcterms:W3CDTF">2025-04-30T07:21:00Z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