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4B02"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Елисеев, Илья Александрович.</w:t>
      </w:r>
    </w:p>
    <w:p w14:paraId="3796609F"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Комбинационное рассеяние света и фотолюминесценция в двумерных и квазидвумерных структурах графена, дисульфида молибдена и нитридов металлов третьей группы : диссертация ... кандидата физико-математических наук : 1.3.8. / Елисеев Илья Александрович; [Место защиты: ФГБУН Физико-технический институт им. А.Ф. Иоффе Российской академии наук]. - Санкт-Петербург, 2022. - 159 с. : ил.</w:t>
      </w:r>
    </w:p>
    <w:p w14:paraId="1F0585E3"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Оглавление диссертациикандидат наук Елисеев Илья Александрович</w:t>
      </w:r>
    </w:p>
    <w:p w14:paraId="31EE0BF0"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Введение</w:t>
      </w:r>
    </w:p>
    <w:p w14:paraId="144CD20D"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3</w:t>
      </w:r>
    </w:p>
    <w:p w14:paraId="62230AB9"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Глава 1. Методики изготовления и исследования образцов _11</w:t>
      </w:r>
    </w:p>
    <w:p w14:paraId="755F386A"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1.1. Рост углеродных пленок (графена и буферного слоя) на поверхности подложек 4Н-</w:t>
      </w:r>
    </w:p>
    <w:p w14:paraId="61043936"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и 6Я-БЮ_11</w:t>
      </w:r>
    </w:p>
    <w:p w14:paraId="7A13AC72"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1.2. Методика изготовления двумерных структур_12</w:t>
      </w:r>
    </w:p>
    <w:p w14:paraId="5FCB9DD4"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1.3. Рост сверхрешеток ОаКАШ и твердых растворов А1ОаК _15</w:t>
      </w:r>
    </w:p>
    <w:p w14:paraId="2172B724"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1.4. Методика измерений спектров КРС и ФЛ_16</w:t>
      </w:r>
    </w:p>
    <w:p w14:paraId="48E8B3D9"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1.5. Методика измерений температурных зависимостей стационарной ФЛ и ФЛ с временным разрешением_17</w:t>
      </w:r>
    </w:p>
    <w:p w14:paraId="22486885"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1.6. Программное обеспечение для обработки спектральных массивов_19</w:t>
      </w:r>
    </w:p>
    <w:p w14:paraId="4EDE843E"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Глава 2. Исследования методом спектроскопии КРС графена, выращенного на Б1С_22</w:t>
      </w:r>
    </w:p>
    <w:p w14:paraId="498414C4"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Введение_22</w:t>
      </w:r>
    </w:p>
    <w:p w14:paraId="6B1D7FAA"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2.1. Комплексные исследования структурных характеристик графеновых пленок_23</w:t>
      </w:r>
    </w:p>
    <w:p w14:paraId="65B77C24"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2.1.1. Диагностика химического состава и толщины пленок графена с использованием РФЭС _23</w:t>
      </w:r>
    </w:p>
    <w:p w14:paraId="4B2253C2"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2.1.2. Анализ электронной структуры графена с помощью ФЭСУР_25</w:t>
      </w:r>
    </w:p>
    <w:p w14:paraId="7EF41BC7"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2.1.3. Анализ тонкой структуры электронных уровней углерода _26</w:t>
      </w:r>
    </w:p>
    <w:p w14:paraId="75DAAD7B"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2.1.4. Анализ кристаллической структуры графеновой пленки: дифракция медленных электронов_27</w:t>
      </w:r>
    </w:p>
    <w:p w14:paraId="613E4231"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2.1.5. Анализ кристаллической структуры графеновой пленки: спектр КРС графена на БЮ</w:t>
      </w:r>
    </w:p>
    <w:p w14:paraId="2C7E2B0B"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2.2. Оценка с помощью спектроскопии КРС толщины графеновых пленок, сформированных на поверхности БЮ_31</w:t>
      </w:r>
    </w:p>
    <w:p w14:paraId="7F460548"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2.3. Обзор литературы. Методика оценки из данных КРС концентрации электронов и величины деформации в графене, выращенном на БЮ_38</w:t>
      </w:r>
    </w:p>
    <w:p w14:paraId="3C459584"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2.3.1. Зависимость положения линии О от концентрации носителей: аномалия Кона_39</w:t>
      </w:r>
    </w:p>
    <w:p w14:paraId="5485B441"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2.3.2. Зависимость ширины линии О от концентрации носителей заряда _41</w:t>
      </w:r>
    </w:p>
    <w:p w14:paraId="28611082"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lastRenderedPageBreak/>
        <w:t>2.3.3. Поведение линий О и 20 с изменением концентрации носителей заряда_42</w:t>
      </w:r>
    </w:p>
    <w:p w14:paraId="2EC31E79"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2.3.4. Поведение линий О и 20 при деформации кристаллической решетки графена._44</w:t>
      </w:r>
    </w:p>
    <w:p w14:paraId="0E74DA3B"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2.3.5. Метод разделения вкладов деформации и легирования_45</w:t>
      </w:r>
    </w:p>
    <w:p w14:paraId="33E4CDD8"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2.4. Экспериментальные данные. Разделение вкладов деформации и легирования при исследовании монослойного графена, сформированного на подложках карбида кремния _47</w:t>
      </w:r>
    </w:p>
    <w:p w14:paraId="6BB9AB16"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2.5. Исследования интеркалированных структур на основе систем Ог/БЮ и буферный слой/БЮ _57</w:t>
      </w:r>
    </w:p>
    <w:p w14:paraId="4CE5601B"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2.5.1. Обзор литературы. Влияние дефектов на спектры КРС графена_58</w:t>
      </w:r>
    </w:p>
    <w:p w14:paraId="16A4C20E"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2.5.2. Исследование графена, полученного путем интеркаляции Н2 буферного слоя_61</w:t>
      </w:r>
    </w:p>
    <w:p w14:paraId="49B5492F"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2.5.3. Исследования графена и буферного слоя, выращенных на БЮ, после</w:t>
      </w:r>
    </w:p>
    <w:p w14:paraId="4AC56F75"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интеркаляции Со, Б1, Бе и Мп_69</w:t>
      </w:r>
    </w:p>
    <w:p w14:paraId="1351BE1D"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Заключение к разделу_78</w:t>
      </w:r>
    </w:p>
    <w:p w14:paraId="41F71382"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Заключение к главе_79</w:t>
      </w:r>
    </w:p>
    <w:p w14:paraId="3EB44C2D"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Глава 3. Исследование тонкой структуры экситонных состояний в монослое и бислое Мо§2 при наличии и отсутствии деформации__81</w:t>
      </w:r>
    </w:p>
    <w:p w14:paraId="25DB2E0B"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Введение_81</w:t>
      </w:r>
    </w:p>
    <w:p w14:paraId="648231B6"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3.1. Обзор литературы. Кристаллическая и зонная структура ДПМ_82</w:t>
      </w:r>
    </w:p>
    <w:p w14:paraId="71BA0B86"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3.2. Обзор литературы. Оптические свойства монослойных ДПМ_87</w:t>
      </w:r>
    </w:p>
    <w:p w14:paraId="09590FEA"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3.2.1. Основные экситонные резонансы и энергия связи экситонов_87</w:t>
      </w:r>
    </w:p>
    <w:p w14:paraId="38C43DC7"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3.2.2. Темные и светлые экситоны в ДПМ_89</w:t>
      </w:r>
    </w:p>
    <w:p w14:paraId="5B82D6DB"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3.2.3. Тонкая структура А-экситона в ДПМ_91</w:t>
      </w:r>
    </w:p>
    <w:p w14:paraId="4579680D"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3.2.4. Экспериментальное наблюдение темных экситонов в оптических спектрах MoX2</w:t>
      </w:r>
    </w:p>
    <w:p w14:paraId="5D99820E"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и WX2 _93</w:t>
      </w:r>
    </w:p>
    <w:p w14:paraId="651F29ED"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3.2.5. Изготовление и диагностика образцов ДПМ для оптических исследований_96</w:t>
      </w:r>
    </w:p>
    <w:p w14:paraId="779856F1"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3.3. Экспериментальные исследования кинетики темных и светлых экситонов в моно- и бислойном MoS2 в зависимости от наличия деформации_99</w:t>
      </w:r>
    </w:p>
    <w:p w14:paraId="2A4C4055"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3.3.1. Диагностика структур MoS2/SiO2 и MoS2/AhOз с помощью спектроскопии КРС</w:t>
      </w:r>
    </w:p>
    <w:p w14:paraId="4A4CBC31"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и ФЛ с постоянным возбуждением_100</w:t>
      </w:r>
    </w:p>
    <w:p w14:paraId="7CDC904B"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3.3.2. Исследования структур MoS2 методом микро-ФЛ с временным разрешением_104</w:t>
      </w:r>
    </w:p>
    <w:p w14:paraId="34988E0D"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3.3.3. Обсуждение экспериментальных результатов_111</w:t>
      </w:r>
    </w:p>
    <w:p w14:paraId="5B8E457D"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3.3.4. Балансная модель экситонных состояний в MoS2_116</w:t>
      </w:r>
    </w:p>
    <w:p w14:paraId="7C0CB229"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Заключение к главе_118</w:t>
      </w:r>
    </w:p>
    <w:p w14:paraId="0E1BC25D"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lastRenderedPageBreak/>
        <w:t>Глава 4. Бозонный пик в спектрах КРС сверхрешеток GaN/AlN с ультратонкими слоями и твердых растворов AlGaN, выращенных в Ga-обогащенных условиях_120</w:t>
      </w:r>
    </w:p>
    <w:p w14:paraId="59FC19D0"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Введение_120</w:t>
      </w:r>
    </w:p>
    <w:p w14:paraId="37772AF6"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4.1. Рост короткопериодных СР GaN/AlN и твердых растворов AlGaN с использованием метода ПА МПЭ _120</w:t>
      </w:r>
    </w:p>
    <w:p w14:paraId="71B7F682"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4.2. Спектроскопия КРС СР GaN/AlN и твердых растворов AlGaN, выращенных методом ТМЭ_122</w:t>
      </w:r>
    </w:p>
    <w:p w14:paraId="3978BC95"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4.3. Теоретический расчет спектра КРС наночастиц Ga_126</w:t>
      </w:r>
    </w:p>
    <w:p w14:paraId="67E77492"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Заключение к главе_131</w:t>
      </w:r>
    </w:p>
    <w:p w14:paraId="356FFA14"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Заключение___133</w:t>
      </w:r>
    </w:p>
    <w:p w14:paraId="23D9A078"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Список сокращений и условных обозначений__138</w:t>
      </w:r>
    </w:p>
    <w:p w14:paraId="6EEDCED8" w14:textId="77777777" w:rsidR="00D30A2F" w:rsidRPr="00D30A2F" w:rsidRDefault="00D30A2F" w:rsidP="00D30A2F">
      <w:pPr>
        <w:rPr>
          <w:rFonts w:ascii="Helvetica" w:eastAsia="Symbol" w:hAnsi="Helvetica" w:cs="Helvetica"/>
          <w:b/>
          <w:bCs/>
          <w:color w:val="222222"/>
          <w:kern w:val="0"/>
          <w:sz w:val="21"/>
          <w:szCs w:val="21"/>
          <w:lang w:eastAsia="ru-RU"/>
        </w:rPr>
      </w:pPr>
      <w:r w:rsidRPr="00D30A2F">
        <w:rPr>
          <w:rFonts w:ascii="Helvetica" w:eastAsia="Symbol" w:hAnsi="Helvetica" w:cs="Helvetica"/>
          <w:b/>
          <w:bCs/>
          <w:color w:val="222222"/>
          <w:kern w:val="0"/>
          <w:sz w:val="21"/>
          <w:szCs w:val="21"/>
          <w:lang w:eastAsia="ru-RU"/>
        </w:rPr>
        <w:t>Список литературы__140</w:t>
      </w:r>
    </w:p>
    <w:p w14:paraId="071EBB05" w14:textId="024FE928" w:rsidR="00E67B85" w:rsidRPr="00D30A2F" w:rsidRDefault="00E67B85" w:rsidP="00D30A2F"/>
    <w:sectPr w:rsidR="00E67B85" w:rsidRPr="00D30A2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502B8" w14:textId="77777777" w:rsidR="00685474" w:rsidRDefault="00685474">
      <w:pPr>
        <w:spacing w:after="0" w:line="240" w:lineRule="auto"/>
      </w:pPr>
      <w:r>
        <w:separator/>
      </w:r>
    </w:p>
  </w:endnote>
  <w:endnote w:type="continuationSeparator" w:id="0">
    <w:p w14:paraId="41D4DB81" w14:textId="77777777" w:rsidR="00685474" w:rsidRDefault="00685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42FB6" w14:textId="77777777" w:rsidR="00685474" w:rsidRDefault="00685474"/>
    <w:p w14:paraId="03A73C54" w14:textId="77777777" w:rsidR="00685474" w:rsidRDefault="00685474"/>
    <w:p w14:paraId="41C20283" w14:textId="77777777" w:rsidR="00685474" w:rsidRDefault="00685474"/>
    <w:p w14:paraId="4AE72492" w14:textId="77777777" w:rsidR="00685474" w:rsidRDefault="00685474"/>
    <w:p w14:paraId="2072CBBC" w14:textId="77777777" w:rsidR="00685474" w:rsidRDefault="00685474"/>
    <w:p w14:paraId="6EFEA4D7" w14:textId="77777777" w:rsidR="00685474" w:rsidRDefault="00685474"/>
    <w:p w14:paraId="3A06B920" w14:textId="77777777" w:rsidR="00685474" w:rsidRDefault="0068547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C5C738" wp14:editId="577899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0A977" w14:textId="77777777" w:rsidR="00685474" w:rsidRDefault="006854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C5C7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50A977" w14:textId="77777777" w:rsidR="00685474" w:rsidRDefault="006854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F8E58E" w14:textId="77777777" w:rsidR="00685474" w:rsidRDefault="00685474"/>
    <w:p w14:paraId="1D8B45C4" w14:textId="77777777" w:rsidR="00685474" w:rsidRDefault="00685474"/>
    <w:p w14:paraId="03002721" w14:textId="77777777" w:rsidR="00685474" w:rsidRDefault="0068547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AC055E" wp14:editId="0A56D5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91F3B" w14:textId="77777777" w:rsidR="00685474" w:rsidRDefault="00685474"/>
                          <w:p w14:paraId="133FF879" w14:textId="77777777" w:rsidR="00685474" w:rsidRDefault="006854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AC05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491F3B" w14:textId="77777777" w:rsidR="00685474" w:rsidRDefault="00685474"/>
                    <w:p w14:paraId="133FF879" w14:textId="77777777" w:rsidR="00685474" w:rsidRDefault="006854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E9D5EF" w14:textId="77777777" w:rsidR="00685474" w:rsidRDefault="00685474"/>
    <w:p w14:paraId="20C10D77" w14:textId="77777777" w:rsidR="00685474" w:rsidRDefault="00685474">
      <w:pPr>
        <w:rPr>
          <w:sz w:val="2"/>
          <w:szCs w:val="2"/>
        </w:rPr>
      </w:pPr>
    </w:p>
    <w:p w14:paraId="292E5E55" w14:textId="77777777" w:rsidR="00685474" w:rsidRDefault="00685474"/>
    <w:p w14:paraId="72E59D05" w14:textId="77777777" w:rsidR="00685474" w:rsidRDefault="00685474">
      <w:pPr>
        <w:spacing w:after="0" w:line="240" w:lineRule="auto"/>
      </w:pPr>
    </w:p>
  </w:footnote>
  <w:footnote w:type="continuationSeparator" w:id="0">
    <w:p w14:paraId="63D39C73" w14:textId="77777777" w:rsidR="00685474" w:rsidRDefault="00685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474"/>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109424</TotalTime>
  <Pages>3</Pages>
  <Words>631</Words>
  <Characters>3600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1674</cp:revision>
  <cp:lastPrinted>2009-02-06T05:36:00Z</cp:lastPrinted>
  <dcterms:created xsi:type="dcterms:W3CDTF">2024-01-07T13:43:00Z</dcterms:created>
  <dcterms:modified xsi:type="dcterms:W3CDTF">2025-06-08T18:22:00Z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